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  <w:spacing w:after="80"/>
        <w:ind w:firstLine="0"/>
        <w:jc w:val="left"/>
      </w:pPr>
      <w:r>
        <w:rPr>
          <w:b/>
          <w:sz w:val="26"/>
        </w:rPr>
        <w:t xml:space="preserve">NB-532-3-B</w:t>
      </w:r>
      <w:r>
        <w:rPr>
          <w:sz w:val="19"/>
        </w:rPr>
        <w:br/>
      </w:r>
      <w:r>
        <w:rPr>
          <w:sz w:val="19"/>
        </w:rPr>
        <w:t xml:space="preserve">Narrow bandpass filter, 532 nm, 3.0 nm FWHM, 25.0 mm mounted</w:t>
      </w:r>
    </w:p>
    <w:p>
      <w:pPr>
        <w:pStyle w:val="BodyText"/>
        <w:spacing w:after="80"/>
        <w:ind w:firstLine="0"/>
        <w:jc w:val="left"/>
      </w:pPr>
      <w:r>
        <w:rPr>
          <w:b/>
          <w:sz w:val="21"/>
        </w:rPr>
        <w:t xml:space="preserve">Sespe Optics</w:t>
      </w:r>
      <w:r>
        <w:rPr>
          <w:i/>
          <w:sz w:val="19"/>
        </w:rPr>
        <w:br/>
      </w:r>
      <w:r>
        <w:rPr>
          <w:i/>
          <w:sz w:val="19"/>
        </w:rPr>
        <w:t xml:space="preserve">Thin-film filters and precision optics</w:t>
      </w:r>
    </w:p>
    <w:p>
      <w:pPr>
        <w:pStyle w:val="BodyText"/>
        <w:ind w:firstLine="0"/>
        <w:jc w:val="left"/>
      </w:pPr>
      <w:r>
        <w:t xml:space="preserve">Datasheet NB-DS-532-3-B, Rev B, 2026-10-24. Replaces Rev A of 2026-06-12.</w:t>
      </w:r>
    </w:p>
    <w:p>
      <w:pPr>
        <w:pStyle w:val="BodyText"/>
        <w:ind w:firstLine="0"/>
        <w:jc w:val="left"/>
      </w:pPr>
      <w:r>
        <w:t xml:space="preserve">The NB-532-3-B passes a 3.0 nm band centered on 532 nm and blocks 400 to 1100 nm outside CWL ± </w:t>
      </w:r>
      <w:r>
        <w:t xml:space="preserve">12</w:t>
      </w:r>
      <w:r>
        <w:t xml:space="preserve"> nm to at least</w:t>
      </w:r>
      <w:r>
        <w:t xml:space="preserve"> </w:t>
      </w:r>
      <w:r>
        <w:t xml:space="preserve">OD 5. It is a three-cavity, ion-beam-sputtered, all-dielectric coating on a UV fused silica substrate, with a</w:t>
      </w:r>
      <w:r>
        <w:t xml:space="preserve"> </w:t>
      </w:r>
      <w:r>
        <w:t xml:space="preserve">broadband antireflection coating on the rear face, mounted in a black anodized aluminum ring. The blocking is</w:t>
      </w:r>
      <w:r>
        <w:t xml:space="preserve"> </w:t>
      </w:r>
      <w:r>
        <w:t xml:space="preserve">reflective: there is no laminated absorbing glass in the stack. Center wavelength, bandwidth and peak</w:t>
      </w:r>
      <w:r>
        <w:t xml:space="preserve"> </w:t>
      </w:r>
      <w:r>
        <w:t xml:space="preserve">transmission are measured on every filter.</w:t>
      </w:r>
    </w:p>
    <w:tbl>
      <w:tblPr>
        <w:tblStyle w:val="Table"/>
        <w:tblLook w:firstRow="1" w:lastRow="0" w:firstColumn="0" w:lastColumn="0" w:noHBand="0" w:noVBand="0" w:val="0020"/>
        <w:tblW w:w="9360" w:type="dxa"/>
        <w:tblInd w:w="0" w:type="dxa"/>
        <w:tblLayout w:type="fixed"/>
      </w:tblPr>
      <w:tblGrid>
        <w:gridCol w:w="1944"/>
        <w:gridCol w:w="2232"/>
        <w:gridCol w:w="2160"/>
        <w:gridCol w:w="3024"/>
      </w:tblGrid>
      <w:tr>
        <w:trPr>
          <w:tblHeader w:val="on"/>
          <w:cantSplit/>
        </w:trPr>
        <w:tc>
          <w:tcPr>
            <w:tcW w:w="1944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Center wavelength</w:t>
            </w:r>
          </w:p>
        </w:tc>
        <w:tc>
          <w:tcPr>
            <w:tcW w:w="2232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Bandwidth (FWHM)</w:t>
            </w:r>
          </w:p>
        </w:tc>
        <w:tc>
          <w:tcPr>
            <w:tcW w:w="216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Peak transmission</w:t>
            </w:r>
          </w:p>
        </w:tc>
        <w:tc>
          <w:tcPr>
            <w:tcW w:w="3024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Blocking</w:t>
            </w:r>
          </w:p>
        </w:tc>
      </w:tr>
      <w:tr>
        <w:trPr>
          <w:cantSplit/>
        </w:trPr>
        <w:tc>
          <w:tcPr>
            <w:tcW w:w="1944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532</w:t>
            </w:r>
            <w:r>
              <w:rPr>
                <w:rFonts w:ascii="Cambria" w:hAnsi="Cambria"/>
                <w:sz w:val="18"/>
              </w:rPr>
              <w:t xml:space="preserve"> nm</w:t>
            </w:r>
          </w:p>
        </w:tc>
        <w:tc>
          <w:tcPr>
            <w:tcW w:w="2232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3.0</w:t>
            </w:r>
            <w:r>
              <w:rPr>
                <w:rFonts w:ascii="Cambria" w:hAnsi="Cambria"/>
                <w:sz w:val="18"/>
              </w:rPr>
              <w:t xml:space="preserve"> nm typ</w:t>
            </w:r>
          </w:p>
        </w:tc>
        <w:tc>
          <w:tcPr>
            <w:tcW w:w="216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85</w:t>
            </w:r>
            <w:r>
              <w:rPr>
                <w:rFonts w:ascii="Cambria" w:hAnsi="Cambria"/>
                <w:sz w:val="18"/>
              </w:rPr>
              <w:t xml:space="preserve"> % min</w:t>
            </w:r>
          </w:p>
        </w:tc>
        <w:tc>
          <w:tcPr>
            <w:tcW w:w="3024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OD </w:t>
            </w:r>
            <w:r>
              <w:rPr>
                <w:rFonts w:ascii="Cambria" w:hAnsi="Cambria"/>
                <w:sz w:val="18"/>
              </w:rPr>
              <w:t xml:space="preserve">5</w:t>
            </w:r>
            <w:r>
              <w:rPr>
                <w:rFonts w:ascii="Cambria" w:hAnsi="Cambria"/>
                <w:sz w:val="18"/>
              </w:rPr>
              <w:t xml:space="preserve"> min</w:t>
            </w:r>
          </w:p>
        </w:tc>
      </w:tr>
      <w:tr>
        <w:trPr>
          <w:cantSplit/>
        </w:trPr>
        <w:tc>
          <w:tcPr>
            <w:tcW w:w="1944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531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to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533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nm at AOI 0°, 23 °C</w:t>
            </w:r>
          </w:p>
        </w:tc>
        <w:tc>
          <w:tcPr>
            <w:tcW w:w="2232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2.6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to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3.4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nm at AOI 0°, 23 °C</w:t>
            </w:r>
          </w:p>
        </w:tc>
        <w:tc>
          <w:tcPr>
            <w:tcW w:w="216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90</w:t>
            </w:r>
            <w:r>
              <w:rPr>
                <w:rFonts w:ascii="Cambria" w:hAnsi="Cambria"/>
                <w:sz w:val="18"/>
              </w:rPr>
              <w:t xml:space="preserve"> % typical, at the measured CWL, AOI 0°</w:t>
            </w:r>
          </w:p>
        </w:tc>
        <w:tc>
          <w:tcPr>
            <w:tcW w:w="3024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400 to 1100 nm, outside CWL ± </w:t>
            </w:r>
            <w:r>
              <w:rPr>
                <w:rFonts w:ascii="Cambria" w:hAnsi="Cambria"/>
                <w:sz w:val="18"/>
              </w:rPr>
              <w:t xml:space="preserve">12</w:t>
            </w:r>
            <w:r>
              <w:rPr>
                <w:rFonts w:ascii="Cambria" w:hAnsi="Cambria"/>
                <w:sz w:val="18"/>
              </w:rPr>
              <w:t xml:space="preserve"> nm; OD </w:t>
            </w:r>
            <w:r>
              <w:rPr>
                <w:rFonts w:ascii="Cambria" w:hAnsi="Cambria"/>
                <w:sz w:val="18"/>
              </w:rPr>
              <w:t xml:space="preserve">6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typical</w:t>
            </w:r>
          </w:p>
        </w:tc>
      </w:tr>
    </w:tbl>
    <w:bookmarkStart w:id="19" w:name="features"/>
    <w:p>
      <w:pPr>
        <w:pStyle w:val="Heading1"/>
        <w:ind w:firstLine="0"/>
        <w:jc w:val="left"/>
      </w:pPr>
      <w:r>
        <w:t xml:space="preserve">Features</w:t>
      </w:r>
    </w:p>
    <w:p>
      <w:pPr>
        <w:pStyle w:val="Compact"/>
        <w:numPr>
          <w:ilvl w:val="0"/>
          <w:numId w:val="1001"/>
        </w:numPr>
      </w:pPr>
      <w:r>
        <w:t xml:space="preserve">Center wavelength</w:t>
      </w:r>
      <w:r>
        <w:t xml:space="preserve"> </w:t>
      </w:r>
      <w:r>
        <w:t xml:space="preserve">532.0</w:t>
      </w:r>
      <w:r>
        <w:t xml:space="preserve"> nm, ±</w:t>
      </w:r>
      <w:r>
        <w:t xml:space="preserve">1.0</w:t>
      </w:r>
      <w:r>
        <w:t xml:space="preserve"> nm at AOI 0°, 23 °C</w:t>
      </w:r>
    </w:p>
    <w:p>
      <w:pPr>
        <w:pStyle w:val="Compact"/>
        <w:numPr>
          <w:ilvl w:val="0"/>
          <w:numId w:val="1001"/>
        </w:numPr>
      </w:pPr>
      <w:r>
        <w:t xml:space="preserve">Flat-top passband,</w:t>
      </w:r>
      <w:r>
        <w:t xml:space="preserve"> </w:t>
      </w:r>
      <w:r>
        <w:t xml:space="preserve">3.0</w:t>
      </w:r>
      <w:r>
        <w:t xml:space="preserve"> nm FWHM typical</w:t>
      </w:r>
    </w:p>
    <w:p>
      <w:pPr>
        <w:pStyle w:val="Compact"/>
        <w:numPr>
          <w:ilvl w:val="0"/>
          <w:numId w:val="1001"/>
        </w:numPr>
      </w:pPr>
      <w:r>
        <w:t xml:space="preserve">Peak transmission</w:t>
      </w:r>
      <w:r>
        <w:t xml:space="preserve"> </w:t>
      </w:r>
      <w:r>
        <w:t xml:space="preserve">90</w:t>
      </w:r>
      <w:r>
        <w:t xml:space="preserve"> % typical at the center wavelength, AOI 0°</w:t>
      </w:r>
    </w:p>
    <w:p>
      <w:pPr>
        <w:pStyle w:val="Compact"/>
        <w:numPr>
          <w:ilvl w:val="0"/>
          <w:numId w:val="1001"/>
        </w:numPr>
      </w:pPr>
      <w:r>
        <w:t xml:space="preserve">Blocking OD </w:t>
      </w:r>
      <w:r>
        <w:t xml:space="preserve">5</w:t>
      </w:r>
      <w:r>
        <w:t xml:space="preserve"> </w:t>
      </w:r>
      <w:r>
        <w:t xml:space="preserve">minimum, 400 to 1100 nm outside CWL ± </w:t>
      </w:r>
      <w:r>
        <w:t xml:space="preserve">12</w:t>
      </w:r>
      <w:r>
        <w:t xml:space="preserve"> nm</w:t>
      </w:r>
    </w:p>
    <w:p>
      <w:pPr>
        <w:pStyle w:val="Compact"/>
        <w:numPr>
          <w:ilvl w:val="0"/>
          <w:numId w:val="1001"/>
        </w:numPr>
      </w:pPr>
      <w:r>
        <w:t xml:space="preserve">Operates from −20 to +70 °C; stable after humidity exposure (lot sample)</w:t>
      </w:r>
    </w:p>
    <w:bookmarkEnd w:id="19"/>
    <w:bookmarkStart w:id="20" w:name="applications"/>
    <w:p>
      <w:pPr>
        <w:pStyle w:val="Heading1"/>
      </w:pPr>
      <w:r>
        <w:t xml:space="preserve">Applications</w:t>
      </w:r>
    </w:p>
    <w:p>
      <w:pPr>
        <w:pStyle w:val="Compact"/>
        <w:numPr>
          <w:ilvl w:val="0"/>
          <w:numId w:val="1002"/>
        </w:numPr>
      </w:pPr>
      <w:r>
        <w:t xml:space="preserve">Laser-line cleanup for 532 nm Raman and fluorescence excitation</w:t>
      </w:r>
    </w:p>
    <w:p>
      <w:pPr>
        <w:pStyle w:val="Compact"/>
        <w:numPr>
          <w:ilvl w:val="0"/>
          <w:numId w:val="1002"/>
        </w:numPr>
      </w:pPr>
      <w:r>
        <w:t xml:space="preserve">Narrow receiver filter for 532 nm lidar and ranging</w:t>
      </w:r>
    </w:p>
    <w:p>
      <w:pPr>
        <w:pStyle w:val="Compact"/>
        <w:numPr>
          <w:ilvl w:val="0"/>
          <w:numId w:val="1002"/>
        </w:numPr>
      </w:pPr>
      <w:r>
        <w:t xml:space="preserve">Laser-line imaging and beam profiling with a green source</w:t>
      </w:r>
    </w:p>
    <w:p>
      <w:pPr>
        <w:pStyle w:val="Compact"/>
        <w:numPr>
          <w:ilvl w:val="0"/>
          <w:numId w:val="1002"/>
        </w:numPr>
      </w:pPr>
      <w:r>
        <w:t xml:space="preserve">Background rejection in front of photodetectors and spectrometers</w:t>
      </w:r>
    </w:p>
    <w:bookmarkEnd w:id="20"/>
    <w:bookmarkStart w:id="21" w:name="ordering-information"/>
    <w:p>
      <w:pPr>
        <w:pStyle w:val="Heading1"/>
      </w:pPr>
      <w:r>
        <w:t xml:space="preserve">Ordering information</w:t>
      </w:r>
    </w:p>
    <w:p>
      <w:pPr>
        <w:pStyle w:val="FirstParagraph"/>
      </w:pPr>
      <w:r>
        <w:t xml:space="preserve">Part number key:</w:t>
      </w:r>
      <w:r>
        <w:t xml:space="preserve"> </w:t>
      </w:r>
      <w:r>
        <w:rPr>
          <w:b/>
          <w:bCs/>
        </w:rPr>
        <w:t xml:space="preserve">NB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532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3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B</w:t>
      </w:r>
      <w:r>
        <w:t xml:space="preserve">. The limits in this datasheet are those of NB-532-3-B; the other sizes of the same part carry the limits in Table 1.</w:t>
      </w:r>
    </w:p>
    <w:p>
      <w:pPr>
        <w:pStyle w:val="TableCaption"/>
      </w:pPr>
      <w:r>
        <w:rPr>
          <w:b/>
          <w:bCs/>
        </w:rPr>
        <w:t xml:space="preserve">Table 1.</w:t>
      </w:r>
      <w:r>
        <w:t xml:space="preserve"> </w:t>
      </w:r>
      <w:r>
        <w:t xml:space="preserve">Part number key and sizes of the 532 nm, 3 nm part</w:t>
      </w:r>
    </w:p>
    <w:tbl>
      <w:tblPr>
        <w:tblStyle w:val="Table"/>
        <w:tblLook w:firstRow="1" w:lastRow="0" w:firstColumn="0" w:lastColumn="0" w:noHBand="0" w:noVBand="0" w:val="0020"/>
        <w:tblCaption w:val="Table 1. Part number key and sizes of the 532 nm, 3 nm part"/>
        <w:tblW w:w="9360" w:type="dxa"/>
        <w:tblInd w:w="0" w:type="dxa"/>
        <w:tblLayout w:type="fixed"/>
      </w:tblPr>
      <w:tblGrid>
        <w:gridCol w:w="1655"/>
        <w:gridCol w:w="1584"/>
        <w:gridCol w:w="1224"/>
        <w:gridCol w:w="1152"/>
        <w:gridCol w:w="2160"/>
        <w:gridCol w:w="1584"/>
      </w:tblGrid>
      <w:tr>
        <w:trPr>
          <w:tblHeader w:val="on"/>
          <w:cantSplit/>
        </w:trPr>
        <w:tc>
          <w:tcPr>
            <w:tcW w:w="1655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Part number</w:t>
            </w:r>
          </w:p>
        </w:tc>
        <w:tc>
          <w:tcPr>
            <w:tcW w:w="1584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Size</w:t>
            </w:r>
          </w:p>
        </w:tc>
        <w:tc>
          <w:tcPr>
            <w:tcW w:w="1224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Mount diameter</w:t>
            </w:r>
          </w:p>
        </w:tc>
        <w:tc>
          <w:tcPr>
            <w:tcW w:w="1152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Clear aperture</w:t>
            </w:r>
          </w:p>
        </w:tc>
        <w:tc>
          <w:tcPr>
            <w:tcW w:w="216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CWL limits</w:t>
            </w:r>
          </w:p>
        </w:tc>
        <w:tc>
          <w:tcPr>
            <w:tcW w:w="1584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FWHM limits</w:t>
            </w:r>
          </w:p>
        </w:tc>
      </w:tr>
      <w:tr>
        <w:trPr>
          <w:cantSplit/>
        </w:trPr>
        <w:tc>
          <w:tcPr>
            <w:tcW w:w="1655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NB-532-3-A</w:t>
            </w:r>
          </w:p>
        </w:tc>
        <w:tc>
          <w:tcPr>
            <w:tcW w:w="1584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size A</w:t>
            </w:r>
          </w:p>
        </w:tc>
        <w:tc>
          <w:tcPr>
            <w:tcW w:w="1224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12.5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mm</w:t>
            </w:r>
          </w:p>
        </w:tc>
        <w:tc>
          <w:tcPr>
            <w:tcW w:w="1152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9.0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mm</w:t>
            </w:r>
          </w:p>
        </w:tc>
        <w:tc>
          <w:tcPr>
            <w:tcW w:w="216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531.0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to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533.0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nm</w:t>
            </w:r>
          </w:p>
        </w:tc>
        <w:tc>
          <w:tcPr>
            <w:tcW w:w="1584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2.6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to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3.4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nm</w:t>
            </w:r>
          </w:p>
        </w:tc>
      </w:tr>
      <w:tr>
        <w:trPr>
          <w:cantSplit/>
        </w:trPr>
        <w:tc>
          <w:tcPr>
            <w:tcW w:w="1655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b/>
                <w:bCs/>
                <w:sz w:val="18"/>
              </w:rPr>
              <w:t xml:space="preserve">NB-532-3-B</w:t>
            </w:r>
          </w:p>
        </w:tc>
        <w:tc>
          <w:tcPr>
            <w:tcW w:w="1584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size B (this datasheet)</w:t>
            </w:r>
          </w:p>
        </w:tc>
        <w:tc>
          <w:tcPr>
            <w:tcW w:w="1224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25.0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mm</w:t>
            </w:r>
          </w:p>
        </w:tc>
        <w:tc>
          <w:tcPr>
            <w:tcW w:w="1152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21.0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mm</w:t>
            </w:r>
          </w:p>
        </w:tc>
        <w:tc>
          <w:tcPr>
            <w:tcW w:w="216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531.0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to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533.0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nm</w:t>
            </w:r>
          </w:p>
        </w:tc>
        <w:tc>
          <w:tcPr>
            <w:tcW w:w="1584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2.6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to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3.4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nm</w:t>
            </w:r>
          </w:p>
        </w:tc>
      </w:tr>
      <w:tr>
        <w:trPr>
          <w:cantSplit/>
        </w:trPr>
        <w:tc>
          <w:tcPr>
            <w:tcW w:w="1655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NB-532-3-C</w:t>
            </w:r>
          </w:p>
        </w:tc>
        <w:tc>
          <w:tcPr>
            <w:tcW w:w="1584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size C</w:t>
            </w:r>
          </w:p>
        </w:tc>
        <w:tc>
          <w:tcPr>
            <w:tcW w:w="1224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50.0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mm</w:t>
            </w:r>
          </w:p>
        </w:tc>
        <w:tc>
          <w:tcPr>
            <w:tcW w:w="1152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45.0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mm</w:t>
            </w:r>
          </w:p>
        </w:tc>
        <w:tc>
          <w:tcPr>
            <w:tcW w:w="216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530.5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to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533.5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nm</w:t>
            </w:r>
          </w:p>
        </w:tc>
        <w:tc>
          <w:tcPr>
            <w:tcW w:w="1584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2.5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to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3.5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nm</w:t>
            </w:r>
          </w:p>
        </w:tc>
      </w:tr>
    </w:tbl>
    <w:p>
      <w:pPr>
        <w:pStyle w:val="BodyText"/>
        <w:spacing w:before="140"/>
      </w:pPr>
      <w:r>
        <w:t xml:space="preserve">Key fields:</w:t>
      </w:r>
      <w:r>
        <w:t xml:space="preserve"> </w:t>
      </w:r>
      <w:r>
        <w:rPr>
          <w:b/>
          <w:bCs/>
        </w:rPr>
        <w:t xml:space="preserve">NB</w:t>
      </w:r>
      <w:r>
        <w:t xml:space="preserve"> </w:t>
      </w:r>
      <w:r>
        <w:t xml:space="preserve">is the series (narrow bandpass, hard-coated, mounted);</w:t>
      </w:r>
      <w:r>
        <w:t xml:space="preserve"> </w:t>
      </w:r>
      <w:r>
        <w:rPr>
          <w:b/>
          <w:bCs/>
        </w:rPr>
        <w:t xml:space="preserve">532</w:t>
      </w:r>
      <w:r>
        <w:t xml:space="preserve"> </w:t>
      </w:r>
      <w:r>
        <w:t xml:space="preserve">is the center wavelength in nm (series options 405, 450, 488, 532, 561, 633, 780, 808, 852, 980, 1064);</w:t>
      </w:r>
      <w:r>
        <w:t xml:space="preserve"> </w:t>
      </w:r>
      <w:r>
        <w:rPr>
          <w:b/>
          <w:bCs/>
        </w:rPr>
        <w:t xml:space="preserve">3</w:t>
      </w:r>
      <w:r>
        <w:t xml:space="preserve"> </w:t>
      </w:r>
      <w:r>
        <w:t xml:space="preserve">is the nominal FWHM in nm (1, 3 or 10);</w:t>
      </w:r>
      <w:r>
        <w:t xml:space="preserve"> </w:t>
      </w:r>
      <w:r>
        <w:rPr>
          <w:b/>
          <w:bCs/>
        </w:rPr>
        <w:t xml:space="preserve">B</w:t>
      </w:r>
      <w:r>
        <w:t xml:space="preserve"> </w:t>
      </w:r>
      <w:r>
        <w:t xml:space="preserve">is the size, A 12.5 mm, B 25.0 mm or C 50.0 mm mounted.</w:t>
      </w:r>
    </w:p>
    <w:bookmarkEnd w:id="21"/>
    <w:bookmarkStart w:id="22" w:name="test-policy"/>
    <w:p>
      <w:pPr>
        <w:pStyle w:val="Heading1"/>
      </w:pPr>
      <w:r>
        <w:t xml:space="preserve">Test policy</w:t>
      </w:r>
    </w:p>
    <w:p>
      <w:pPr>
        <w:pStyle w:val="FirstParagraph"/>
      </w:pPr>
      <w:r>
        <w:t xml:space="preserve">Every unit: center wavelength, bandwidth and peak transmission at AOI 0°, 23 °C, with the results supplied with the filter. A sample from</w:t>
      </w:r>
      <w:r>
        <w:t xml:space="preserve"> </w:t>
      </w:r>
      <w:r>
        <w:t xml:space="preserve">each coating lot: blocking from 400 to 1100 nm, and humidity and temperature cycling to MIL-STD-810 style methods (tested to, not certified),</w:t>
      </w:r>
      <w:r>
        <w:t xml:space="preserve"> </w:t>
      </w:r>
      <w:r>
        <w:t xml:space="preserve">with no measurable center wavelength shift after 24 h at 60 °C and 85 % relative humidity. Typical values and curves are not tested per unit.</w:t>
      </w:r>
    </w:p>
    <w:bookmarkEnd w:id="22"/>
    <w:bookmarkStart w:id="23" w:name="absolute-maximum-ratings"/>
    <w:p>
      <w:pPr>
        <w:pStyle w:val="Heading1"/>
      </w:pPr>
      <w:r>
        <w:t xml:space="preserve">Absolute maximum ratings</w:t>
      </w:r>
    </w:p>
    <w:p>
      <w:pPr>
        <w:pStyle w:val="TableCaption"/>
      </w:pPr>
      <w:r>
        <w:rPr>
          <w:b/>
          <w:bCs/>
        </w:rPr>
        <w:t xml:space="preserve">Table 2.</w:t>
      </w:r>
      <w:r>
        <w:t xml:space="preserve"> </w:t>
      </w:r>
      <w:r>
        <w:t xml:space="preserve">Limits that must not be exceeded. They are kept apart from the characteristics in Table 3.</w:t>
      </w:r>
    </w:p>
    <w:tbl>
      <w:tblPr>
        <w:tblStyle w:val="Table"/>
        <w:tblLook w:firstRow="1" w:lastRow="0" w:firstColumn="0" w:lastColumn="0" w:noHBand="0" w:noVBand="0" w:val="0020"/>
        <w:tblCaption w:val="Table 2. Limits that must not be exceeded. They are kept apart from the characteristics in Table 3."/>
        <w:tblW w:w="9360" w:type="dxa"/>
        <w:tblInd w:w="0" w:type="dxa"/>
        <w:tblLayout w:type="fixed"/>
      </w:tblPr>
      <w:tblGrid>
        <w:gridCol w:w="2520"/>
        <w:gridCol w:w="3528"/>
        <w:gridCol w:w="720"/>
        <w:gridCol w:w="720"/>
        <w:gridCol w:w="720"/>
        <w:gridCol w:w="1152"/>
      </w:tblGrid>
      <w:tr>
        <w:trPr>
          <w:tblHeader w:val="on"/>
          <w:cantSplit/>
        </w:trPr>
        <w:tc>
          <w:tcPr>
            <w:tcW w:w="252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Parameter</w:t>
            </w:r>
          </w:p>
        </w:tc>
        <w:tc>
          <w:tcPr>
            <w:tcW w:w="3528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Conditions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Min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Typ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Max</w:t>
            </w:r>
          </w:p>
        </w:tc>
        <w:tc>
          <w:tcPr>
            <w:tcW w:w="1152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Unit</w:t>
            </w:r>
          </w:p>
        </w:tc>
      </w:tr>
      <w:tr>
        <w:trPr>
          <w:cantSplit/>
        </w:trPr>
        <w:tc>
          <w:tcPr>
            <w:tcW w:w="252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Operating temperature</w:t>
            </w:r>
          </w:p>
        </w:tc>
        <w:tc>
          <w:tcPr>
            <w:tcW w:w="3528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filter in its mount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−20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+</w:t>
            </w:r>
            <w:r>
              <w:rPr>
                <w:rFonts w:ascii="Cambria" w:hAnsi="Cambria"/>
                <w:sz w:val="18"/>
              </w:rPr>
              <w:t xml:space="preserve">70</w:t>
            </w:r>
          </w:p>
        </w:tc>
        <w:tc>
          <w:tcPr>
            <w:tcW w:w="1152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°C</w:t>
            </w:r>
          </w:p>
        </w:tc>
      </w:tr>
      <w:tr>
        <w:trPr>
          <w:cantSplit/>
        </w:trPr>
        <w:tc>
          <w:tcPr>
            <w:tcW w:w="252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Storage temperature</w:t>
            </w:r>
          </w:p>
        </w:tc>
        <w:tc>
          <w:tcPr>
            <w:tcW w:w="3528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dry, unmounted or mounted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−40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+</w:t>
            </w:r>
            <w:r>
              <w:rPr>
                <w:rFonts w:ascii="Cambria" w:hAnsi="Cambria"/>
                <w:sz w:val="18"/>
              </w:rPr>
              <w:t xml:space="preserve">85</w:t>
            </w:r>
          </w:p>
        </w:tc>
        <w:tc>
          <w:tcPr>
            <w:tcW w:w="1152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°C</w:t>
            </w:r>
          </w:p>
        </w:tc>
      </w:tr>
    </w:tbl>
    <w:bookmarkEnd w:id="23"/>
    <w:bookmarkStart w:id="24" w:name="optical-characteristics"/>
    <w:p>
      <w:pPr>
        <w:pStyle w:val="Heading1"/>
      </w:pPr>
      <w:r>
        <w:t xml:space="preserve">Optical characteristics</w:t>
      </w:r>
    </w:p>
    <w:p>
      <w:pPr>
        <w:pStyle w:val="TableCaption"/>
      </w:pPr>
      <w:r>
        <w:rPr>
          <w:b/>
          <w:bCs/>
        </w:rPr>
        <w:t xml:space="preserve">Table 3.</w:t>
      </w:r>
      <w:r>
        <w:t xml:space="preserve"> </w:t>
      </w:r>
      <w:r>
        <w:t xml:space="preserve">Optical characteristics of NB-532-3-B. Minimum and maximum are tested limits; typical values are for information and are not tested on every unit (see Test policy).</w:t>
      </w:r>
    </w:p>
    <w:tbl>
      <w:tblPr>
        <w:tblStyle w:val="Table"/>
        <w:tblLook w:firstRow="1" w:lastRow="0" w:firstColumn="0" w:lastColumn="0" w:noHBand="0" w:noVBand="0" w:val="0020"/>
        <w:tblCaption w:val="Table 3. Optical characteristics of NB-532-3-B. Minimum and maximum are tested limits; typical values are for information and are not tested on every unit (see Test policy)."/>
        <w:tblW w:w="9360" w:type="dxa"/>
        <w:tblInd w:w="0" w:type="dxa"/>
        <w:tblLayout w:type="fixed"/>
      </w:tblPr>
      <w:tblGrid>
        <w:gridCol w:w="2520"/>
        <w:gridCol w:w="3528"/>
        <w:gridCol w:w="720"/>
        <w:gridCol w:w="720"/>
        <w:gridCol w:w="720"/>
        <w:gridCol w:w="1152"/>
      </w:tblGrid>
      <w:tr>
        <w:trPr>
          <w:tblHeader w:val="on"/>
          <w:cantSplit/>
        </w:trPr>
        <w:tc>
          <w:tcPr>
            <w:tcW w:w="252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Parameter</w:t>
            </w:r>
          </w:p>
        </w:tc>
        <w:tc>
          <w:tcPr>
            <w:tcW w:w="3528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Conditions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Min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Typ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Max</w:t>
            </w:r>
          </w:p>
        </w:tc>
        <w:tc>
          <w:tcPr>
            <w:tcW w:w="1152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Unit</w:t>
            </w:r>
          </w:p>
        </w:tc>
      </w:tr>
      <w:tr>
        <w:trPr>
          <w:cantSplit/>
        </w:trPr>
        <w:tc>
          <w:tcPr>
            <w:tcW w:w="9360" w:type="dxa"/>
            <w:gridSpan w:val="6"/>
          </w:tcPr>
          <w:p>
            <w:pPr>
              <w:pStyle w:val="Compact"/>
              <w:spacing w:after="0" w:before="0" w:line="240" w:lineRule="auto"/>
              <w:ind w:left="0" w:firstLine="0"/>
              <w:jc w:val="left"/>
            </w:pPr>
            <w:r>
              <w:rPr>
                <w:rFonts w:ascii="Cambria" w:hAnsi="Cambria"/>
                <w:b/>
                <w:i/>
                <w:sz w:val="18"/>
              </w:rPr>
              <w:t xml:space="preserve">Passband</w:t>
            </w:r>
          </w:p>
        </w:tc>
      </w:tr>
      <w:tr>
        <w:trPr>
          <w:cantSplit/>
        </w:trPr>
        <w:tc>
          <w:tcPr>
            <w:tcW w:w="252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Center wavelength, CWL</w:t>
            </w:r>
          </w:p>
        </w:tc>
        <w:tc>
          <w:tcPr>
            <w:tcW w:w="3528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AOI 0°, 23 °C, unpolarized, collimated 2 mm beam at the clear aperture center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531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532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533</w:t>
            </w:r>
          </w:p>
        </w:tc>
        <w:tc>
          <w:tcPr>
            <w:tcW w:w="1152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nm</w:t>
            </w:r>
          </w:p>
        </w:tc>
      </w:tr>
      <w:tr>
        <w:trPr>
          <w:cantSplit/>
        </w:trPr>
        <w:tc>
          <w:tcPr>
            <w:tcW w:w="252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Bandwidth, FWHM</w:t>
            </w:r>
          </w:p>
        </w:tc>
        <w:tc>
          <w:tcPr>
            <w:tcW w:w="3528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AOI 0°, 23 °C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2.6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3.0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3.4</w:t>
            </w:r>
          </w:p>
        </w:tc>
        <w:tc>
          <w:tcPr>
            <w:tcW w:w="1152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nm</w:t>
            </w:r>
          </w:p>
        </w:tc>
      </w:tr>
      <w:tr>
        <w:trPr>
          <w:cantSplit/>
        </w:trPr>
        <w:tc>
          <w:tcPr>
            <w:tcW w:w="252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Peak transmission</w:t>
            </w:r>
          </w:p>
        </w:tc>
        <w:tc>
          <w:tcPr>
            <w:tcW w:w="3528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at the measured center wavelength λ</w:t>
            </w:r>
            <w:r>
              <w:rPr>
                <w:rFonts w:ascii="Cambria" w:hAnsi="Cambria"/>
                <w:sz w:val="18"/>
                <w:vertAlign w:val="subscript"/>
              </w:rPr>
              <w:t xml:space="preserve">0</w:t>
            </w:r>
            <w:r>
              <w:rPr>
                <w:rFonts w:ascii="Cambria" w:hAnsi="Cambria"/>
                <w:sz w:val="18"/>
              </w:rPr>
              <w:t xml:space="preserve">, AOI 0°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85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90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  <w:tc>
          <w:tcPr>
            <w:tcW w:w="1152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%</w:t>
            </w:r>
          </w:p>
        </w:tc>
      </w:tr>
      <w:tr>
        <w:trPr>
          <w:cantSplit/>
        </w:trPr>
        <w:tc>
          <w:tcPr>
            <w:tcW w:w="252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Attenuation at CWL ± </w:t>
            </w:r>
            <w:r>
              <w:rPr>
                <w:rFonts w:ascii="Cambria" w:hAnsi="Cambria"/>
                <w:sz w:val="18"/>
              </w:rPr>
              <w:t xml:space="preserve">5</w:t>
            </w:r>
            <w:r>
              <w:rPr>
                <w:rFonts w:ascii="Cambria" w:hAnsi="Cambria"/>
                <w:sz w:val="18"/>
              </w:rPr>
              <w:t xml:space="preserve"> nm</w:t>
            </w:r>
          </w:p>
        </w:tc>
        <w:tc>
          <w:tcPr>
            <w:tcW w:w="3528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AOI 0°, typical curve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3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  <w:tc>
          <w:tcPr>
            <w:tcW w:w="1152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OD</w:t>
            </w:r>
          </w:p>
        </w:tc>
      </w:tr>
      <w:tr>
        <w:trPr>
          <w:cantSplit/>
        </w:trPr>
        <w:tc>
          <w:tcPr>
            <w:tcW w:w="252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Attenuation at CWL ± </w:t>
            </w:r>
            <w:r>
              <w:rPr>
                <w:rFonts w:ascii="Cambria" w:hAnsi="Cambria"/>
                <w:sz w:val="18"/>
              </w:rPr>
              <w:t xml:space="preserve">12</w:t>
            </w:r>
            <w:r>
              <w:rPr>
                <w:rFonts w:ascii="Cambria" w:hAnsi="Cambria"/>
                <w:sz w:val="18"/>
              </w:rPr>
              <w:t xml:space="preserve"> nm</w:t>
            </w:r>
          </w:p>
        </w:tc>
        <w:tc>
          <w:tcPr>
            <w:tcW w:w="3528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AOI 0°, typical curve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5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  <w:tc>
          <w:tcPr>
            <w:tcW w:w="1152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OD</w:t>
            </w:r>
          </w:p>
        </w:tc>
      </w:tr>
      <w:tr>
        <w:trPr>
          <w:cantSplit/>
        </w:trPr>
        <w:tc>
          <w:tcPr>
            <w:tcW w:w="9360" w:type="dxa"/>
            <w:gridSpan w:val="6"/>
          </w:tcPr>
          <w:p>
            <w:pPr>
              <w:pStyle w:val="Compact"/>
              <w:spacing w:after="0" w:before="0" w:line="240" w:lineRule="auto"/>
              <w:ind w:left="0" w:firstLine="0"/>
              <w:jc w:val="left"/>
            </w:pPr>
            <w:r>
              <w:rPr>
                <w:rFonts w:ascii="Cambria" w:hAnsi="Cambria"/>
                <w:b/>
                <w:i/>
                <w:sz w:val="18"/>
              </w:rPr>
              <w:t xml:space="preserve">Blocking</w:t>
            </w:r>
          </w:p>
        </w:tc>
      </w:tr>
      <w:tr>
        <w:trPr>
          <w:cantSplit/>
        </w:trPr>
        <w:tc>
          <w:tcPr>
            <w:tcW w:w="252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Blocking</w:t>
            </w:r>
          </w:p>
        </w:tc>
        <w:tc>
          <w:tcPr>
            <w:tcW w:w="3528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400 to 1100 nm, outside CWL ± </w:t>
            </w:r>
            <w:r>
              <w:rPr>
                <w:rFonts w:ascii="Cambria" w:hAnsi="Cambria"/>
                <w:sz w:val="18"/>
              </w:rPr>
              <w:t xml:space="preserve">12</w:t>
            </w:r>
            <w:r>
              <w:rPr>
                <w:rFonts w:ascii="Cambria" w:hAnsi="Cambria"/>
                <w:sz w:val="18"/>
              </w:rPr>
              <w:t xml:space="preserve"> nm, AOI 0°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5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6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  <w:tc>
          <w:tcPr>
            <w:tcW w:w="1152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OD</w:t>
            </w:r>
          </w:p>
        </w:tc>
      </w:tr>
      <w:tr>
        <w:trPr>
          <w:cantSplit/>
        </w:trPr>
        <w:tc>
          <w:tcPr>
            <w:tcW w:w="252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Blocking test limit</w:t>
            </w:r>
          </w:p>
        </w:tc>
        <w:tc>
          <w:tcPr>
            <w:tcW w:w="3528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test dynamic range; higher readings reported as &gt; limit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6.5</w:t>
            </w:r>
          </w:p>
        </w:tc>
        <w:tc>
          <w:tcPr>
            <w:tcW w:w="1152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OD</w:t>
            </w:r>
          </w:p>
        </w:tc>
      </w:tr>
      <w:tr>
        <w:trPr>
          <w:cantSplit/>
        </w:trPr>
        <w:tc>
          <w:tcPr>
            <w:tcW w:w="252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Rear surface reflectance</w:t>
            </w:r>
          </w:p>
        </w:tc>
        <w:tc>
          <w:tcPr>
            <w:tcW w:w="3528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broadband AR coating, average 400 to 1100 nm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0.5</w:t>
            </w:r>
          </w:p>
        </w:tc>
        <w:tc>
          <w:tcPr>
            <w:tcW w:w="1152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%</w:t>
            </w:r>
          </w:p>
        </w:tc>
      </w:tr>
      <w:tr>
        <w:trPr>
          <w:cantSplit/>
        </w:trPr>
        <w:tc>
          <w:tcPr>
            <w:tcW w:w="9360" w:type="dxa"/>
            <w:gridSpan w:val="6"/>
          </w:tcPr>
          <w:p>
            <w:pPr>
              <w:pStyle w:val="Compact"/>
              <w:spacing w:after="0" w:before="0" w:line="240" w:lineRule="auto"/>
              <w:ind w:left="0" w:firstLine="0"/>
              <w:jc w:val="left"/>
            </w:pPr>
            <w:r>
              <w:rPr>
                <w:rFonts w:ascii="Cambria" w:hAnsi="Cambria"/>
                <w:b/>
                <w:i/>
                <w:sz w:val="18"/>
              </w:rPr>
              <w:t xml:space="preserve">Angle and temperature</w:t>
            </w:r>
          </w:p>
        </w:tc>
      </w:tr>
      <w:tr>
        <w:trPr>
          <w:cantSplit/>
        </w:trPr>
        <w:tc>
          <w:tcPr>
            <w:tcW w:w="252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Effective index,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i/>
                <w:iCs/>
                <w:sz w:val="18"/>
              </w:rPr>
              <w:t xml:space="preserve">n</w:t>
            </w:r>
            <w:r>
              <w:rPr>
                <w:rFonts w:ascii="Cambria" w:hAnsi="Cambria"/>
                <w:sz w:val="18"/>
                <w:vertAlign w:val="subscript"/>
              </w:rPr>
              <w:t xml:space="preserve">eff</w:t>
            </w:r>
          </w:p>
        </w:tc>
        <w:tc>
          <w:tcPr>
            <w:tcW w:w="3528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average of s and p, fitted at 10° and 20°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1.9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2.0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2.1</w:t>
            </w:r>
          </w:p>
        </w:tc>
        <w:tc>
          <w:tcPr>
            <w:tcW w:w="1152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</w:tr>
      <w:tr>
        <w:trPr>
          <w:cantSplit/>
        </w:trPr>
        <w:tc>
          <w:tcPr>
            <w:tcW w:w="252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CWL shift at 10° AOI</w:t>
            </w:r>
          </w:p>
        </w:tc>
        <w:tc>
          <w:tcPr>
            <w:tcW w:w="3528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typical, from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i/>
                <w:iCs/>
                <w:sz w:val="18"/>
              </w:rPr>
              <w:t xml:space="preserve">n</w:t>
            </w:r>
            <w:r>
              <w:rPr>
                <w:rFonts w:ascii="Cambria" w:hAnsi="Cambria"/>
                <w:sz w:val="18"/>
                <w:vertAlign w:val="subscript"/>
              </w:rPr>
              <w:t xml:space="preserve">eff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= 2.0, Eq. (1)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−2.0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  <w:tc>
          <w:tcPr>
            <w:tcW w:w="1152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nm</w:t>
            </w:r>
          </w:p>
        </w:tc>
      </w:tr>
      <w:tr>
        <w:trPr>
          <w:cantSplit/>
        </w:trPr>
        <w:tc>
          <w:tcPr>
            <w:tcW w:w="252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CWL temperature coefficient</w:t>
            </w:r>
          </w:p>
        </w:tc>
        <w:tc>
          <w:tcPr>
            <w:tcW w:w="3528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23 to 70 °C, AOI 0°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+</w:t>
            </w:r>
            <w:r>
              <w:rPr>
                <w:rFonts w:ascii="Cambria" w:hAnsi="Cambria"/>
                <w:sz w:val="18"/>
              </w:rPr>
              <w:t xml:space="preserve">4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+</w:t>
            </w:r>
            <w:r>
              <w:rPr>
                <w:rFonts w:ascii="Cambria" w:hAnsi="Cambria"/>
                <w:sz w:val="18"/>
              </w:rPr>
              <w:t xml:space="preserve">6</w:t>
            </w:r>
          </w:p>
        </w:tc>
        <w:tc>
          <w:tcPr>
            <w:tcW w:w="1152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pm/K</w:t>
            </w:r>
          </w:p>
        </w:tc>
      </w:tr>
      <w:tr>
        <w:trPr>
          <w:cantSplit/>
        </w:trPr>
        <w:tc>
          <w:tcPr>
            <w:tcW w:w="9360" w:type="dxa"/>
            <w:gridSpan w:val="6"/>
          </w:tcPr>
          <w:p>
            <w:pPr>
              <w:pStyle w:val="Compact"/>
              <w:spacing w:after="0" w:before="0" w:line="240" w:lineRule="auto"/>
              <w:ind w:left="0" w:firstLine="0"/>
              <w:jc w:val="left"/>
            </w:pPr>
            <w:r>
              <w:rPr>
                <w:rFonts w:ascii="Cambria" w:hAnsi="Cambria"/>
                <w:b/>
                <w:i/>
                <w:sz w:val="18"/>
              </w:rPr>
              <w:t xml:space="preserve">Laser damage</w:t>
            </w:r>
          </w:p>
        </w:tc>
      </w:tr>
      <w:tr>
        <w:trPr>
          <w:cantSplit/>
        </w:trPr>
        <w:tc>
          <w:tcPr>
            <w:tcW w:w="252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Damage threshold, pulsed</w:t>
            </w:r>
          </w:p>
        </w:tc>
        <w:tc>
          <w:tcPr>
            <w:tcW w:w="3528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532 nm, 10 ns, 20 Hz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0.5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  <w:tc>
          <w:tcPr>
            <w:tcW w:w="1152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J/cm</w:t>
            </w:r>
            <w:r>
              <w:rPr>
                <w:rFonts w:ascii="Cambria" w:hAnsi="Cambria"/>
                <w:sz w:val="18"/>
                <w:vertAlign w:val="superscript"/>
              </w:rPr>
              <w:t xml:space="preserve">2</w:t>
            </w:r>
          </w:p>
        </w:tc>
      </w:tr>
      <w:tr>
        <w:trPr>
          <w:cantSplit/>
        </w:trPr>
        <w:tc>
          <w:tcPr>
            <w:tcW w:w="252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Damage threshold, CW</w:t>
            </w:r>
          </w:p>
        </w:tc>
        <w:tc>
          <w:tcPr>
            <w:tcW w:w="3528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532 nm, continuous wave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1</w:t>
            </w:r>
          </w:p>
        </w:tc>
        <w:tc>
          <w:tcPr>
            <w:tcW w:w="720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  <w:tc>
          <w:tcPr>
            <w:tcW w:w="1152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kW/cm</w:t>
            </w:r>
            <w:r>
              <w:rPr>
                <w:rFonts w:ascii="Cambria" w:hAnsi="Cambria"/>
                <w:sz w:val="18"/>
                <w:vertAlign w:val="superscript"/>
              </w:rPr>
              <w:t xml:space="preserve">2</w:t>
            </w:r>
          </w:p>
        </w:tc>
      </w:tr>
    </w:tbl>
    <w:p>
      <w:pPr>
        <w:pStyle w:val="BodyText"/>
        <w:spacing w:before="140"/>
      </w:pPr>
      <w:r>
        <w:t xml:space="preserve">Attenuation at CWL ± </w:t>
      </w:r>
      <w:r>
        <w:t xml:space="preserve">5</w:t>
      </w:r>
      <w:r>
        <w:t xml:space="preserve"> nm and ± </w:t>
      </w:r>
      <w:r>
        <w:t xml:space="preserve">12</w:t>
      </w:r>
      <w:r>
        <w:t xml:space="preserve"> nm is typical, not a limit; the typical curve in Figure 1 gives</w:t>
      </w:r>
      <w:r>
        <w:t xml:space="preserve"> </w:t>
      </w:r>
      <w:r>
        <w:t xml:space="preserve">OD </w:t>
      </w:r>
      <w:r>
        <w:t xml:space="preserve">3.2</w:t>
      </w:r>
      <w:r>
        <w:t xml:space="preserve"> </w:t>
      </w:r>
      <w:r>
        <w:t xml:space="preserve">and OD </w:t>
      </w:r>
      <w:r>
        <w:t xml:space="preserve">5.4</w:t>
      </w:r>
      <w:r>
        <w:t xml:space="preserve">. Blocking is stated outside CWL ± </w:t>
      </w:r>
      <w:r>
        <w:t xml:space="preserve">12</w:t>
      </w:r>
      <w:r>
        <w:t xml:space="preserve"> nm because the passband skirts are still falling inside it.</w:t>
      </w:r>
      <w:r>
        <w:t xml:space="preserve"> </w:t>
      </w:r>
      <w:r>
        <w:t xml:space="preserve">Damage thresholds are typical and not tested on shipped units.</w:t>
      </w:r>
    </w:p>
    <w:bookmarkEnd w:id="24"/>
    <w:bookmarkStart w:id="25" w:name="tolerance-notes"/>
    <w:p>
      <w:pPr>
        <w:pStyle w:val="Heading1"/>
      </w:pPr>
      <w:r>
        <w:t xml:space="preserve">Tolerance notes</w:t>
      </w:r>
    </w:p>
    <w:p>
      <w:pPr>
        <w:pStyle w:val="FirstParagraph"/>
      </w:pPr>
      <w:r>
        <w:t xml:space="preserve">The center wavelength limit of</w:t>
      </w:r>
      <w:r>
        <w:t xml:space="preserve"> </w:t>
      </w:r>
      <w:r>
        <w:t xml:space="preserve">531</w:t>
      </w:r>
      <w:r>
        <w:t xml:space="preserve"> </w:t>
      </w:r>
      <w:r>
        <w:t xml:space="preserve">to</w:t>
      </w:r>
      <w:r>
        <w:t xml:space="preserve"> </w:t>
      </w:r>
      <w:r>
        <w:t xml:space="preserve">533</w:t>
      </w:r>
      <w:r>
        <w:t xml:space="preserve"> nm is for AOI 0° at 23 °C and temperature adds to it. At the maximum</w:t>
      </w:r>
      <w:r>
        <w:t xml:space="preserve"> </w:t>
      </w:r>
      <w:r>
        <w:t xml:space="preserve">coefficient (+</w:t>
      </w:r>
      <w:r>
        <w:t xml:space="preserve">6</w:t>
      </w:r>
      <w:r>
        <w:t xml:space="preserve"> pm/K), and taking it to apply below 23 °C as well, the guaranteed window over −20 to +70 °C is</w:t>
      </w:r>
      <w:r>
        <w:t xml:space="preserve"> </w:t>
      </w:r>
      <w:r>
        <w:t xml:space="preserve">530.74</w:t>
      </w:r>
      <w:r>
        <w:t xml:space="preserve"> </w:t>
      </w:r>
      <w:r>
        <w:t xml:space="preserve">to</w:t>
      </w:r>
      <w:r>
        <w:t xml:space="preserve"> </w:t>
      </w:r>
      <w:r>
        <w:t xml:space="preserve">533.28</w:t>
      </w:r>
      <w:r>
        <w:t xml:space="preserve"> nm; the typical drift over that range is</w:t>
      </w:r>
      <w:r>
        <w:t xml:space="preserve"> </w:t>
      </w:r>
      <w:r>
        <w:t xml:space="preserve">0.36</w:t>
      </w:r>
      <w:r>
        <w:t xml:space="preserve"> nm.</w:t>
      </w:r>
    </w:p>
    <w:p>
      <w:pPr>
        <w:pStyle w:val="BodyText"/>
      </w:pPr>
      <w:r>
        <w:rPr>
          <w:b/>
          <w:bCs/>
        </w:rPr>
        <w:t xml:space="preserve">Polarization.</w:t>
      </w:r>
      <w:r>
        <w:t xml:space="preserve"> </w:t>
      </w:r>
      <w:r>
        <w:t xml:space="preserve">Limits apply to unpolarized light at AOI 0°. In a representative three-cavity coating of this type the s and p center wavelengths differ by</w:t>
      </w:r>
      <w:r>
        <w:t xml:space="preserve"> </w:t>
      </w:r>
      <w:r>
        <w:t xml:space="preserve">0.07</w:t>
      </w:r>
      <w:r>
        <w:t xml:space="preserve"> nm at 20° and</w:t>
      </w:r>
      <w:r>
        <w:t xml:space="preserve"> </w:t>
      </w:r>
      <w:r>
        <w:t xml:space="preserve">1.6</w:t>
      </w:r>
      <w:r>
        <w:t xml:space="preserve"> nm at 45°; ask for s and p curves for polarized beams above 20°.</w:t>
      </w:r>
    </w:p>
    <w:bookmarkEnd w:id="25"/>
    <w:bookmarkStart w:id="38" w:name="typical-curves"/>
    <w:p>
      <w:pPr>
        <w:pStyle w:val="Heading1"/>
      </w:pPr>
      <w:r>
        <w:t xml:space="preserve">Typical curves</w:t>
      </w:r>
    </w:p>
    <w:bookmarkStart w:id="29" w:name="fig-transmission"/>
    <w:p>
      <w:pPr>
        <w:pStyle w:val="CaptionedFigure"/>
        <w:keepNext/>
        <w:ind w:firstLine="0"/>
        <w:jc w:val="center"/>
      </w:pPr>
      <w:r>
        <w:drawing>
          <wp:inline>
            <wp:extent cx="5943600" cy="1917191"/>
            <wp:effectExtent b="0" l="0" r="0" t="0"/>
            <wp:docPr descr="fig-transmission" title="" id="27" name="Picture"/>
            <a:graphic>
              <a:graphicData uri="http://schemas.openxmlformats.org/drawingml/2006/picture">
                <pic:pic>
                  <pic:nvPicPr>
                    <pic:cNvPr descr="fig-transmission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17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b/>
          <w:bCs/>
        </w:rPr>
        <w:t xml:space="preserve">Figure 1.</w:t>
      </w:r>
      <w:r>
        <w:t xml:space="preserve"> </w:t>
      </w:r>
      <w:r>
        <w:t xml:space="preserve">Typical transmission of NB-532-3-B, AOI 0°, 23 °C, unpolarized. (a) Passband on a linear scale, 500 to 560 nm. (b)</w:t>
      </w:r>
      <w:r>
        <w:t xml:space="preserve"> </w:t>
      </w:r>
      <w:r>
        <w:t xml:space="preserve">Blocking as optical density, 400 to 1100 nm. Typical curve from the passband model of the NB series (three-cavity</w:t>
      </w:r>
      <w:r>
        <w:t xml:space="preserve"> </w:t>
      </w:r>
      <w:r>
        <w:t xml:space="preserve">shape, FWHM</w:t>
      </w:r>
      <w:r>
        <w:t xml:space="preserve"> </w:t>
      </w:r>
      <w:r>
        <w:t xml:space="preserve">3.0</w:t>
      </w:r>
      <w:r>
        <w:t xml:space="preserve"> nm, peak</w:t>
      </w:r>
      <w:r>
        <w:t xml:space="preserve"> </w:t>
      </w:r>
      <w:r>
        <w:t xml:space="preserve">90</w:t>
      </w:r>
      <w:r>
        <w:t xml:space="preserve"> %, blocking floor OD </w:t>
      </w:r>
      <w:r>
        <w:t xml:space="preserve">6</w:t>
      </w:r>
      <w:r>
        <w:t xml:space="preserve">); it is not a measurement of one filter.</w:t>
      </w:r>
    </w:p>
    <w:bookmarkEnd w:id="29"/>
    <w:bookmarkStart w:id="33" w:name="fig-angle"/>
    <w:p>
      <w:pPr>
        <w:pStyle w:val="CaptionedFigure"/>
        <w:keepNext/>
        <w:ind w:firstLine="0"/>
        <w:jc w:val="center"/>
      </w:pPr>
      <w:r>
        <w:drawing>
          <wp:inline>
            <wp:extent cx="3474720" cy="2279059"/>
            <wp:effectExtent b="0" l="0" r="0" t="0"/>
            <wp:docPr descr="fig-angle" title="" id="31" name="Picture"/>
            <a:graphic>
              <a:graphicData uri="http://schemas.openxmlformats.org/drawingml/2006/picture">
                <pic:pic>
                  <pic:nvPicPr>
                    <pic:cNvPr descr="fig-angle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22790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b/>
          <w:bCs/>
        </w:rPr>
        <w:t xml:space="preserve">Figure 2.</w:t>
      </w:r>
      <w:r>
        <w:t xml:space="preserve"> </w:t>
      </w:r>
      <w:r>
        <w:t xml:space="preserve">Center wavelength against angle of incidence in air, unpolarized, from Eq. (1) with</w:t>
      </w:r>
      <w:r>
        <w:t xml:space="preserve"> </w:t>
      </w:r>
      <w:r>
        <w:rPr>
          <w:i/>
          <w:iCs/>
        </w:rPr>
        <w:t xml:space="preserve">n</w:t>
      </w:r>
      <w:r>
        <w:rPr>
          <w:vertAlign w:val="subscript"/>
        </w:rPr>
        <w:t xml:space="preserve">eff</w:t>
      </w:r>
      <w:r>
        <w:t xml:space="preserve"> </w:t>
      </w:r>
      <w:r>
        <w:t xml:space="preserve">of</w:t>
      </w:r>
      <w:r>
        <w:t xml:space="preserve"> </w:t>
      </w:r>
      <w:r>
        <w:t xml:space="preserve">1.9, 2.0 and 2.1. The dotted line marks 10°.</w:t>
      </w:r>
    </w:p>
    <w:bookmarkEnd w:id="33"/>
    <w:bookmarkStart w:id="37" w:name="fig-temperature"/>
    <w:p>
      <w:pPr>
        <w:pStyle w:val="CaptionedFigure"/>
        <w:keepNext/>
        <w:ind w:firstLine="0"/>
        <w:jc w:val="center"/>
      </w:pPr>
      <w:r>
        <w:drawing>
          <wp:inline>
            <wp:extent cx="3474720" cy="2332516"/>
            <wp:effectExtent b="0" l="0" r="0" t="0"/>
            <wp:docPr descr="fig-temperature" title="" id="35" name="Picture"/>
            <a:graphic>
              <a:graphicData uri="http://schemas.openxmlformats.org/drawingml/2006/picture">
                <pic:pic>
                  <pic:nvPicPr>
                    <pic:cNvPr descr="fig-temperatur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2332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b/>
          <w:bCs/>
        </w:rPr>
        <w:t xml:space="preserve">Figure 3.</w:t>
      </w:r>
      <w:r>
        <w:t xml:space="preserve"> </w:t>
      </w:r>
      <w:r>
        <w:t xml:space="preserve">Center wavelength against temperature, AOI 0°, typical coefficient (+</w:t>
      </w:r>
      <w:r>
        <w:t xml:space="preserve">4</w:t>
      </w:r>
      <w:r>
        <w:t xml:space="preserve"> pm/K) and maximum</w:t>
      </w:r>
      <w:r>
        <w:t xml:space="preserve"> </w:t>
      </w:r>
      <w:r>
        <w:t xml:space="preserve">(+</w:t>
      </w:r>
      <w:r>
        <w:t xml:space="preserve">6</w:t>
      </w:r>
      <w:r>
        <w:t xml:space="preserve"> pm/K), both through</w:t>
      </w:r>
      <w:r>
        <w:t xml:space="preserve"> </w:t>
      </w:r>
      <w:r>
        <w:t xml:space="preserve">532.0</w:t>
      </w:r>
      <w:r>
        <w:t xml:space="preserve"> nm at 23 °C.</w:t>
      </w:r>
    </w:p>
    <w:bookmarkEnd w:id="37"/>
    <w:bookmarkEnd w:id="38"/>
    <w:bookmarkStart w:id="39" w:name="using-the-filter-at-an-angle"/>
    <w:p>
      <w:pPr>
        <w:pStyle w:val="Heading1"/>
      </w:pPr>
      <w:r>
        <w:t xml:space="preserve">Using the filter at an angle</w:t>
      </w:r>
    </w:p>
    <w:p>
      <w:pPr>
        <w:pStyle w:val="FirstParagraph"/>
      </w:pPr>
      <w:r>
        <w:t xml:space="preserve">Tilting moves the passband to shorter wavelengths. In air, with</w:t>
      </w:r>
      <w:r>
        <w:t xml:space="preserve"> </w:t>
      </w:r>
      <w:r>
        <w:rPr>
          <w:i/>
          <w:iCs/>
        </w:rPr>
        <w:t xml:space="preserve">n</w:t>
      </w:r>
      <w:r>
        <w:rPr>
          <w:vertAlign w:val="subscript"/>
        </w:rPr>
        <w:t xml:space="preserve">eff</w:t>
      </w:r>
      <w:r>
        <w:t xml:space="preserve"> </w:t>
      </w:r>
      <w:r>
        <w:t xml:space="preserve">from Table 3,</w:t>
      </w:r>
    </w:p>
    <w:tbl>
      <w:tblPr>
        <w:tblStyle w:val="Table"/>
        <w:tblW w:type="auto" w:w="0"/>
        <w:tblLayout w:type="fixed"/>
        <w:tblLook w:firstRow="0" w:lastRow="0" w:firstColumn="0" w:lastColumn="0" w:noHBand="0" w:noVBand="0" w:val="00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92"/>
        <w:gridCol w:w="7776"/>
        <w:gridCol w:w="792"/>
      </w:tblGrid>
      <w:tr>
        <w:tc>
          <w:tcPr>
            <w:tcW w:type="dxa" w:w="792"/>
            <w:vAlign w:val="center"/>
          </w:tcPr>
          <w:p>
            <w:pPr>
              <w:pStyle w:val="Compact"/>
              <w:spacing w:before="80" w:after="80"/>
            </w:pPr>
          </w:p>
        </w:tc>
        <w:tc>
          <w:tcPr>
            <w:tcW w:type="dxa" w:w="7776"/>
            <w:vAlign w:val="center"/>
          </w:tcPr>
          <w:p>
            <w:pPr>
              <w:pStyle w:val="Compact"/>
              <w:spacing w:before="80" w:after="80"/>
              <w:jc w:val="center"/>
            </w:pP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sin</m:t>
                              </m:r>
                              <m:r>
                                <m:t>θ</m:t>
                              </m:r>
                            </m:num>
                            <m:den>
                              <m:sSub>
                                <m:e>
                                  <m:r>
                                    <m:t>n</m:t>
                                  </m:r>
                                </m:e>
                                <m:sub>
                                  <m:r>
                                    <m:rPr>
                                      <m:nor/>
                                      <m:sty m:val="p"/>
                                    </m:rPr>
                                    <m:t>eff</m:t>
                                  </m:r>
                                </m:sub>
                              </m:sSub>
                            </m:den>
                          </m:f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</m:e>
              </m:rad>
            </m:oMath>
          </w:p>
        </w:tc>
        <w:tc>
          <w:tcPr>
            <w:tcW w:type="dxa" w:w="792"/>
            <w:vAlign w:val="center"/>
          </w:tcPr>
          <w:p>
            <w:pPr>
              <w:pStyle w:val="Compact"/>
              <w:spacing w:before="80" w:after="80"/>
              <w:jc w:val="right"/>
            </w:pPr>
            <w:r>
              <w:t xml:space="preserve">(1)</w:t>
            </w:r>
          </w:p>
        </w:tc>
      </w:tr>
    </w:tbl>
    <w:p>
      <w:pPr>
        <w:pStyle w:val="FirstParagraph"/>
        <w:spacing w:before="140"/>
      </w:pPr>
      <w:r>
        <w:t xml:space="preserve">For</w:t>
      </w:r>
      <w:r>
        <w:t xml:space="preserve"> </w:t>
      </w:r>
      <w:r>
        <w:rPr>
          <w:i/>
          <w:iCs/>
        </w:rPr>
        <w:t xml:space="preserve">n</w:t>
      </w:r>
      <w:r>
        <w:rPr>
          <w:vertAlign w:val="subscript"/>
        </w:rPr>
        <w:t xml:space="preserve">eff</w:t>
      </w:r>
      <w:r>
        <w:t xml:space="preserve"> </w:t>
      </w:r>
      <w:r>
        <w:t xml:space="preserve">= 2.0 the center wavelength is</w:t>
      </w:r>
      <w:r>
        <w:t xml:space="preserve"> </w:t>
      </w:r>
      <w:r>
        <w:t xml:space="preserve">529.99</w:t>
      </w:r>
      <w:r>
        <w:t xml:space="preserve"> nm at 10°, a shift of</w:t>
      </w:r>
      <w:r>
        <w:t xml:space="preserve"> </w:t>
      </w:r>
      <w:r>
        <w:t xml:space="preserve">−2.01</w:t>
      </w:r>
      <w:r>
        <w:t xml:space="preserve"> nm, or</w:t>
      </w:r>
      <w:r>
        <w:t xml:space="preserve"> </w:t>
      </w:r>
      <w:r>
        <w:t xml:space="preserve">67</w:t>
      </w:r>
      <w:r>
        <w:t xml:space="preserve"> % of the bandwidth. The shift is</w:t>
      </w:r>
      <w:r>
        <w:t xml:space="preserve"> </w:t>
      </w:r>
      <w:r>
        <w:t xml:space="preserve">−0.51</w:t>
      </w:r>
      <w:r>
        <w:t xml:space="preserve"> nm at 5°,</w:t>
      </w:r>
      <w:r>
        <w:t xml:space="preserve"> </w:t>
      </w:r>
      <w:r>
        <w:t xml:space="preserve">−7.84</w:t>
      </w:r>
      <w:r>
        <w:t xml:space="preserve"> nm at 20° and</w:t>
      </w:r>
      <w:r>
        <w:t xml:space="preserve"> </w:t>
      </w:r>
      <w:r>
        <w:t xml:space="preserve">−34.36</w:t>
      </w:r>
      <w:r>
        <w:t xml:space="preserve"> nm at 45°. At 10° it is</w:t>
      </w:r>
      <w:r>
        <w:t xml:space="preserve"> </w:t>
      </w:r>
      <w:r>
        <w:t xml:space="preserve">−2.23</w:t>
      </w:r>
      <w:r>
        <w:t xml:space="preserve"> nm for</w:t>
      </w:r>
      <w:r>
        <w:t xml:space="preserve"> </w:t>
      </w:r>
      <w:r>
        <w:rPr>
          <w:i/>
          <w:iCs/>
        </w:rPr>
        <w:t xml:space="preserve">n</w:t>
      </w:r>
      <w:r>
        <w:rPr>
          <w:vertAlign w:val="subscript"/>
        </w:rPr>
        <w:t xml:space="preserve">eff</w:t>
      </w:r>
      <w:r>
        <w:t xml:space="preserve"> </w:t>
      </w:r>
      <w:r>
        <w:t xml:space="preserve">= 1.9 and</w:t>
      </w:r>
      <w:r>
        <w:t xml:space="preserve"> </w:t>
      </w:r>
      <w:r>
        <w:t xml:space="preserve">−1.82</w:t>
      </w:r>
      <w:r>
        <w:t xml:space="preserve"> nm for 2.1.</w:t>
      </w:r>
    </w:p>
    <w:p>
      <w:pPr>
        <w:pStyle w:val="BodyText"/>
      </w:pPr>
      <w:r>
        <w:rPr>
          <w:b/>
          <w:bCs/>
        </w:rPr>
        <w:t xml:space="preserve">Tilt tuning.</w:t>
      </w:r>
      <w:r>
        <w:t xml:space="preserve"> </w:t>
      </w:r>
      <w:r>
        <w:t xml:space="preserve">Tilt only lowers the center wavelength. A filter that measures 533.0 nm at AOI 0° reaches</w:t>
      </w:r>
      <w:r>
        <w:t xml:space="preserve"> </w:t>
      </w:r>
      <w:r>
        <w:t xml:space="preserve">532.0 nm at</w:t>
      </w:r>
      <w:r>
        <w:t xml:space="preserve"> </w:t>
      </w:r>
      <w:r>
        <w:t xml:space="preserve">7.0</w:t>
      </w:r>
      <w:r>
        <w:t xml:space="preserve">° (</w:t>
      </w:r>
      <w:r>
        <w:t xml:space="preserve">6.7</w:t>
      </w:r>
      <w:r>
        <w:t xml:space="preserve">° to</w:t>
      </w:r>
      <w:r>
        <w:t xml:space="preserve"> </w:t>
      </w:r>
      <w:r>
        <w:t xml:space="preserve">7.4</w:t>
      </w:r>
      <w:r>
        <w:t xml:space="preserve">° for</w:t>
      </w:r>
      <w:r>
        <w:t xml:space="preserve"> </w:t>
      </w:r>
      <w:r>
        <w:rPr>
          <w:i/>
          <w:iCs/>
        </w:rPr>
        <w:t xml:space="preserve">n</w:t>
      </w:r>
      <w:r>
        <w:rPr>
          <w:vertAlign w:val="subscript"/>
        </w:rPr>
        <w:t xml:space="preserve">eff</w:t>
      </w:r>
      <w:r>
        <w:t xml:space="preserve"> </w:t>
      </w:r>
      <w:r>
        <w:t xml:space="preserve">from 1.9 to 2.1). A filter at the</w:t>
      </w:r>
      <w:r>
        <w:t xml:space="preserve"> </w:t>
      </w:r>
      <w:r>
        <w:t xml:space="preserve">531.0 nm lower limit cannot be tuned up to 532 nm.</w:t>
      </w:r>
    </w:p>
    <w:p>
      <w:pPr>
        <w:pStyle w:val="BodyText"/>
      </w:pPr>
      <w:r>
        <w:rPr>
          <w:b/>
          <w:bCs/>
        </w:rPr>
        <w:t xml:space="preserve">Converging and diverging beams.</w:t>
      </w:r>
      <w:r>
        <w:t xml:space="preserve"> </w:t>
      </w:r>
      <w:r>
        <w:t xml:space="preserve">Each ray sees its own angle. In an f/2 beam (half angle</w:t>
      </w:r>
      <w:r>
        <w:t xml:space="preserve"> </w:t>
      </w:r>
      <w:r>
        <w:t xml:space="preserve">14.04</w:t>
      </w:r>
      <w:r>
        <w:t xml:space="preserve">°) the pupil-averaged shift is</w:t>
      </w:r>
      <w:r>
        <w:t xml:space="preserve"> </w:t>
      </w:r>
      <w:r>
        <w:t xml:space="preserve">−2.00</w:t>
      </w:r>
      <w:r>
        <w:t xml:space="preserve"> nm at</w:t>
      </w:r>
      <w:r>
        <w:t xml:space="preserve"> </w:t>
      </w:r>
      <w:r>
        <w:t xml:space="preserve">normal incidence and</w:t>
      </w:r>
      <w:r>
        <w:t xml:space="preserve"> </w:t>
      </w:r>
      <w:r>
        <w:t xml:space="preserve">−3.93</w:t>
      </w:r>
      <w:r>
        <w:t xml:space="preserve"> nm at 10° tilt, and the passband broadens. Use the filter in collimated space where bandwidth matters. The calculator at</w:t>
      </w:r>
      <w:r>
        <w:t xml:space="preserve"> </w:t>
      </w:r>
      <w:r>
        <w:t xml:space="preserve">jezdangomez.com/calculators/aoi-shift covers other beams.</w:t>
      </w:r>
    </w:p>
    <w:bookmarkEnd w:id="39"/>
    <w:bookmarkStart w:id="44" w:name="mechanical"/>
    <w:p>
      <w:pPr>
        <w:pStyle w:val="Heading1"/>
      </w:pPr>
      <w:r>
        <w:t xml:space="preserve">Mechanical</w:t>
      </w:r>
    </w:p>
    <w:bookmarkStart w:id="43" w:name="fig-outline"/>
    <w:p>
      <w:pPr>
        <w:pStyle w:val="CaptionedFigure"/>
        <w:keepNext/>
        <w:ind w:firstLine="0"/>
        <w:jc w:val="center"/>
      </w:pPr>
      <w:r>
        <w:drawing>
          <wp:inline>
            <wp:extent cx="4389120" cy="2210315"/>
            <wp:effectExtent b="0" l="0" r="0" t="0"/>
            <wp:docPr descr="Dimensioned outline of the NB-25-B mounted filter: front view and section A-A" title="" id="41" name="Picture"/>
            <a:graphic>
              <a:graphicData uri="http://schemas.openxmlformats.org/drawingml/2006/picture">
                <pic:pic>
                  <pic:nvPicPr>
                    <pic:cNvPr descr="fig-outline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2103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b/>
          <w:bCs/>
        </w:rPr>
        <w:t xml:space="preserve">Figure 4.</w:t>
      </w:r>
      <w:r>
        <w:t xml:space="preserve"> </w:t>
      </w:r>
      <w:r>
        <w:t xml:space="preserve">Outline of NB-532-3-B (size B), dimensions in mm. Front view with the element shown dashed, and section A-A through the upper</w:t>
      </w:r>
      <w:r>
        <w:t xml:space="preserve"> </w:t>
      </w:r>
      <w:r>
        <w:t xml:space="preserve">wall at a larger scale. The formal drawing is NB-25-B-OD-001, Rev A.</w:t>
      </w:r>
    </w:p>
    <w:bookmarkEnd w:id="43"/>
    <w:p>
      <w:pPr>
        <w:pStyle w:val="TableCaption"/>
      </w:pPr>
      <w:r>
        <w:rPr>
          <w:b/>
          <w:bCs/>
        </w:rPr>
        <w:t xml:space="preserve">Table 4.</w:t>
      </w:r>
      <w:r>
        <w:t xml:space="preserve"> </w:t>
      </w:r>
      <w:r>
        <w:t xml:space="preserve">Mechanical and material characteristics of NB-532-3-B</w:t>
      </w:r>
    </w:p>
    <w:tbl>
      <w:tblPr>
        <w:tblStyle w:val="Table"/>
        <w:tblLook w:firstRow="1" w:lastRow="0" w:firstColumn="0" w:lastColumn="0" w:noHBand="0" w:noVBand="0" w:val="0020"/>
        <w:tblCaption w:val="Table 4. Mechanical and material characteristics of NB-532-3-B"/>
        <w:tblW w:w="9360" w:type="dxa"/>
        <w:tblInd w:w="0" w:type="dxa"/>
        <w:tblLayout w:type="fixed"/>
      </w:tblPr>
      <w:tblGrid>
        <w:gridCol w:w="3600"/>
        <w:gridCol w:w="1728"/>
        <w:gridCol w:w="2448"/>
        <w:gridCol w:w="1584"/>
      </w:tblGrid>
      <w:tr>
        <w:trPr>
          <w:tblHeader w:val="on"/>
          <w:cantSplit/>
        </w:trPr>
        <w:tc>
          <w:tcPr>
            <w:tcW w:w="360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Parameter</w:t>
            </w:r>
          </w:p>
        </w:tc>
        <w:tc>
          <w:tcPr>
            <w:tcW w:w="1728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Value</w:t>
            </w:r>
          </w:p>
        </w:tc>
        <w:tc>
          <w:tcPr>
            <w:tcW w:w="2448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Tolerance or limit</w:t>
            </w:r>
          </w:p>
        </w:tc>
        <w:tc>
          <w:tcPr>
            <w:tcW w:w="1584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Unit</w:t>
            </w:r>
          </w:p>
        </w:tc>
      </w:tr>
      <w:tr>
        <w:trPr>
          <w:cantSplit/>
        </w:trPr>
        <w:tc>
          <w:tcPr>
            <w:tcW w:w="360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Mounted outside diameter</w:t>
            </w:r>
          </w:p>
        </w:tc>
        <w:tc>
          <w:tcPr>
            <w:tcW w:w="1728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25.0</w:t>
            </w:r>
          </w:p>
        </w:tc>
        <w:tc>
          <w:tcPr>
            <w:tcW w:w="2448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+0 / −0.1</w:t>
            </w:r>
          </w:p>
        </w:tc>
        <w:tc>
          <w:tcPr>
            <w:tcW w:w="1584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mm</w:t>
            </w:r>
          </w:p>
        </w:tc>
      </w:tr>
      <w:tr>
        <w:trPr>
          <w:cantSplit/>
        </w:trPr>
        <w:tc>
          <w:tcPr>
            <w:tcW w:w="360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Mounted thickness</w:t>
            </w:r>
          </w:p>
        </w:tc>
        <w:tc>
          <w:tcPr>
            <w:tcW w:w="1728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5.0</w:t>
            </w:r>
          </w:p>
        </w:tc>
        <w:tc>
          <w:tcPr>
            <w:tcW w:w="2448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±0.1</w:t>
            </w:r>
          </w:p>
        </w:tc>
        <w:tc>
          <w:tcPr>
            <w:tcW w:w="1584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mm</w:t>
            </w:r>
          </w:p>
        </w:tc>
      </w:tr>
      <w:tr>
        <w:trPr>
          <w:cantSplit/>
        </w:trPr>
        <w:tc>
          <w:tcPr>
            <w:tcW w:w="360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Clear aperture, diameter</w:t>
            </w:r>
          </w:p>
        </w:tc>
        <w:tc>
          <w:tcPr>
            <w:tcW w:w="1728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21.0</w:t>
            </w:r>
          </w:p>
        </w:tc>
        <w:tc>
          <w:tcPr>
            <w:tcW w:w="2448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min</w:t>
            </w:r>
          </w:p>
        </w:tc>
        <w:tc>
          <w:tcPr>
            <w:tcW w:w="1584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mm</w:t>
            </w:r>
          </w:p>
        </w:tc>
      </w:tr>
      <w:tr>
        <w:trPr>
          <w:cantSplit/>
        </w:trPr>
        <w:tc>
          <w:tcPr>
            <w:tcW w:w="360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Substrate, UV fused silica, dia × thick</w:t>
            </w:r>
          </w:p>
        </w:tc>
        <w:tc>
          <w:tcPr>
            <w:tcW w:w="1728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22.0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×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2.0</w:t>
            </w:r>
          </w:p>
        </w:tc>
        <w:tc>
          <w:tcPr>
            <w:tcW w:w="2448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reference</w:t>
            </w:r>
          </w:p>
        </w:tc>
        <w:tc>
          <w:tcPr>
            <w:tcW w:w="1584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mm</w:t>
            </w:r>
          </w:p>
        </w:tc>
      </w:tr>
      <w:tr>
        <w:trPr>
          <w:cantSplit/>
        </w:trPr>
        <w:tc>
          <w:tcPr>
            <w:tcW w:w="360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Transmitted wavefront, 633 nm, over the clear aperture</w:t>
            </w:r>
          </w:p>
        </w:tc>
        <w:tc>
          <w:tcPr>
            <w:tcW w:w="1728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λ/4</w:t>
            </w:r>
          </w:p>
        </w:tc>
        <w:tc>
          <w:tcPr>
            <w:tcW w:w="2448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max</w:t>
            </w:r>
          </w:p>
        </w:tc>
        <w:tc>
          <w:tcPr>
            <w:tcW w:w="1584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</w:tr>
      <w:tr>
        <w:trPr>
          <w:cantSplit/>
        </w:trPr>
        <w:tc>
          <w:tcPr>
            <w:tcW w:w="360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Wedge</w:t>
            </w:r>
          </w:p>
        </w:tc>
        <w:tc>
          <w:tcPr>
            <w:tcW w:w="1728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3</w:t>
            </w:r>
          </w:p>
        </w:tc>
        <w:tc>
          <w:tcPr>
            <w:tcW w:w="2448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max</w:t>
            </w:r>
          </w:p>
        </w:tc>
        <w:tc>
          <w:tcPr>
            <w:tcW w:w="1584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arcmin</w:t>
            </w:r>
          </w:p>
        </w:tc>
      </w:tr>
      <w:tr>
        <w:trPr>
          <w:cantSplit/>
        </w:trPr>
        <w:tc>
          <w:tcPr>
            <w:tcW w:w="360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Surface quality</w:t>
            </w:r>
          </w:p>
        </w:tc>
        <w:tc>
          <w:tcPr>
            <w:tcW w:w="1728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60-40</w:t>
            </w:r>
          </w:p>
        </w:tc>
        <w:tc>
          <w:tcPr>
            <w:tcW w:w="2448" w:type="dxa"/>
          </w:tcPr>
          <w:p>
            <w:pPr>
              <w:pStyle w:val="Compact"/>
              <w:spacing w:after="0" w:before="0" w:line="240" w:lineRule="auto"/>
              <w:ind w:firstLine="0" w:left="0"/>
              <w:jc w:val="right"/>
            </w:pPr>
            <w:r>
              <w:rPr>
                <w:rFonts w:ascii="Cambria" w:hAnsi="Cambria"/>
                <w:sz w:val="18"/>
              </w:rPr>
              <w:t xml:space="preserve">scratch-dig</w:t>
            </w:r>
          </w:p>
        </w:tc>
        <w:tc>
          <w:tcPr>
            <w:tcW w:w="1584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 </w:t>
            </w:r>
          </w:p>
        </w:tc>
      </w:tr>
      <w:tr>
        <w:trPr>
          <w:cantSplit/>
        </w:trPr>
        <w:tc>
          <w:tcPr>
            <w:tcW w:w="3600" w:type="dxa"/>
          </w:tcPr>
          <w:p>
            <w:pPr>
              <w:pStyle w:val="Compact"/>
              <w:spacing w:after="0" w:before="0" w:line="240" w:lineRule="auto"/>
              <w:ind w:firstLine="0" w:left="0"/>
              <w:jc w:val="left"/>
            </w:pPr>
            <w:r>
              <w:rPr>
                <w:rFonts w:ascii="Cambria" w:hAnsi="Cambria"/>
                <w:sz w:val="18"/>
              </w:rPr>
              <w:t xml:space="preserve">Coating and mount</w:t>
            </w:r>
          </w:p>
        </w:tc>
        <w:tc>
          <w:tcPr>
            <w:tcW w:w="5760" w:type="dxa"/>
            <w:gridSpan w:val="3"/>
          </w:tcPr>
          <w:p>
            <w:pPr>
              <w:pStyle w:val="Compact"/>
              <w:spacing w:after="0" w:before="0" w:line="240" w:lineRule="auto"/>
              <w:ind w:left="0" w:firstLine="0"/>
              <w:jc w:val="right"/>
            </w:pPr>
            <w:r>
              <w:rPr>
                <w:rFonts w:ascii="Cambria" w:hAnsi="Cambria"/>
                <w:sz w:val="18"/>
              </w:rPr>
              <w:t xml:space="preserve">ion-beam-sputtered Nb</w:t>
            </w:r>
            <w:r>
              <w:rPr>
                <w:rFonts w:ascii="Cambria" w:hAnsi="Cambria"/>
                <w:sz w:val="18"/>
                <w:vertAlign w:val="subscript"/>
              </w:rPr>
              <w:t xml:space="preserve">2</w:t>
            </w:r>
            <w:r>
              <w:rPr>
                <w:rFonts w:ascii="Cambria" w:hAnsi="Cambria"/>
                <w:sz w:val="18"/>
              </w:rPr>
              <w:t xml:space="preserve">O</w:t>
            </w:r>
            <w:r>
              <w:rPr>
                <w:rFonts w:ascii="Cambria" w:hAnsi="Cambria"/>
                <w:sz w:val="18"/>
                <w:vertAlign w:val="subscript"/>
              </w:rPr>
              <w:t xml:space="preserve">5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/ SiO</w:t>
            </w:r>
            <w:r>
              <w:rPr>
                <w:rFonts w:ascii="Cambria" w:hAnsi="Cambria"/>
                <w:sz w:val="18"/>
                <w:vertAlign w:val="subscript"/>
              </w:rPr>
              <w:t xml:space="preserve">2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multilayer on one substrate; black anodized aluminum ring, arrow engraved</w:t>
            </w:r>
          </w:p>
        </w:tc>
      </w:tr>
    </w:tbl>
    <w:bookmarkEnd w:id="44"/>
    <w:bookmarkStart w:id="45" w:name="handling-and-mounting"/>
    <w:p>
      <w:pPr>
        <w:pStyle w:val="Heading1"/>
      </w:pPr>
      <w:r>
        <w:t xml:space="preserve">Handling and mounting</w:t>
      </w:r>
    </w:p>
    <w:p>
      <w:pPr>
        <w:pStyle w:val="Compact"/>
        <w:numPr>
          <w:ilvl w:val="0"/>
          <w:numId w:val="1003"/>
        </w:numPr>
      </w:pPr>
      <w:r>
        <w:t xml:space="preserve">The arrow engraved on the ring points in the direction of transmission. The coated face, on the lip side of the ring, faces the light source.</w:t>
      </w:r>
    </w:p>
    <w:p>
      <w:pPr>
        <w:pStyle w:val="Compact"/>
        <w:numPr>
          <w:ilvl w:val="0"/>
          <w:numId w:val="1003"/>
        </w:numPr>
      </w:pPr>
      <w:r>
        <w:t xml:space="preserve">Clamp on the ring only; do not load the element. Maximum retaining ring torque</w:t>
      </w:r>
      <w:r>
        <w:t xml:space="preserve"> </w:t>
      </w:r>
      <w:r>
        <w:t xml:space="preserve">0.15</w:t>
      </w:r>
      <w:r>
        <w:t xml:space="preserve"> N·m.</w:t>
      </w:r>
    </w:p>
    <w:p>
      <w:pPr>
        <w:pStyle w:val="Compact"/>
        <w:numPr>
          <w:ilvl w:val="0"/>
          <w:numId w:val="1003"/>
        </w:numPr>
      </w:pPr>
      <w:r>
        <w:t xml:space="preserve">Handle by the ring. Blow off dust with dry nitrogen; clean with spectroscopic-grade alcohol on lens tissue; no ultrasonic bath. Store dry between</w:t>
      </w:r>
      <w:r>
        <w:t xml:space="preserve"> </w:t>
      </w:r>
      <w:r>
        <w:t xml:space="preserve">−40</w:t>
      </w:r>
      <w:r>
        <w:t xml:space="preserve"> </w:t>
      </w:r>
      <w:r>
        <w:t xml:space="preserve">and +</w:t>
      </w:r>
      <w:r>
        <w:t xml:space="preserve">85</w:t>
      </w:r>
      <w:r>
        <w:t xml:space="preserve"> °C.</w:t>
      </w:r>
    </w:p>
    <w:bookmarkEnd w:id="45"/>
    <w:bookmarkStart w:id="46" w:name="revision-history"/>
    <w:p>
      <w:pPr>
        <w:pStyle w:val="Heading1"/>
      </w:pPr>
      <w:r>
        <w:t xml:space="preserve">Revision history</w:t>
      </w:r>
    </w:p>
    <w:p>
      <w:pPr>
        <w:pStyle w:val="FirstParagraph"/>
        <w:ind w:firstLine="0" w:left="0"/>
      </w:pPr>
      <w:r>
        <w:rPr>
          <w:b/>
          <w:bCs/>
        </w:rPr>
        <w:t xml:space="preserve">Rev A</w:t>
      </w:r>
      <w:r>
        <w:t xml:space="preserve">, 2026-06-12. Initial release: four values and one curve.</w:t>
      </w:r>
    </w:p>
    <w:p>
      <w:pPr>
        <w:pStyle w:val="BodyText"/>
        <w:ind w:firstLine="0" w:left="0"/>
      </w:pPr>
      <w:r>
        <w:rPr>
          <w:b/>
          <w:bCs/>
        </w:rPr>
        <w:t xml:space="preserve">Rev B</w:t>
      </w:r>
      <w:r>
        <w:t xml:space="preserve">, 2026-10-24. Test conditions added to every specification; typical values separated from limits; blocking stated outside CWL ± </w:t>
      </w:r>
      <w:r>
        <w:t xml:space="preserve">12</w:t>
      </w:r>
      <w:r>
        <w:t xml:space="preserve"> nm; three curves drawn from code; tolerance notes, test policy, part number key, outline and handling notes added.</w:t>
      </w:r>
    </w:p>
    <w:p>
      <w:pPr>
        <w:pStyle w:val="BodyText"/>
        <w:ind w:firstLine="0" w:left="0"/>
      </w:pPr>
      <w:r>
        <w:t xml:space="preserve">Sespe Optics is a fictional company. Portfolio sample by Jezdan Gomez, jezdangomez.com.</w:t>
      </w:r>
    </w:p>
    <w:bookmarkEnd w:id="46"/>
    <w:sectPr>
      <w:footerReference r:id="rId9" w:type="default"/>
      <w:headerReference r:id="rId10" w:type="default"/>
      <w:footnotePr>
        <w:numRestart w:val="eachSect"/>
      </w:footnotePr>
      <w:pgSz w:h="15840" w:w="12240"/>
      <w:pgMar w:bottom="1368" w:footer="720" w:header="648" w:left="1440" w:right="1440" w:top="1368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360" w:val="right"/>
      </w:tabs>
    </w:pPr>
    <w:r>
      <w:rPr>
        <w:rFonts w:ascii="Cambria" w:hAnsi="Cambria"/>
        <w:color w:val="444444"/>
        <w:sz w:val="16"/>
      </w:rPr>
      <w:t>Sespe Optics</w:t>
      <w:tab/>
      <w:t xml:space="preserve">NB-DS-532-3-B, Rev B  |  </w:t>
    </w:r>
    <w:r>
      <w:rPr>
        <w:rFonts w:ascii="Cambria" w:hAnsi="Cambria"/>
        <w:color w:val="444444"/>
        <w:sz w:val="16"/>
      </w:rPr>
      <w:fldChar w:fldCharType="begin"/>
      <w:instrText xml:space="preserve"> PAGE 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before="0" w:line="276" w:lineRule="auto"/>
      <w:jc w:val="left"/>
    </w:pPr>
    <w:rPr>
      <w:rFonts w:ascii="Cambria" w:cs="Cambria" w:eastAsia="Cambria" w:hAnsi="Cambria"/>
      <w:color w:val="111111"/>
      <w:sz w:val="21"/>
    </w:rPr>
  </w:style>
  <w:style w:styleId="BodyText" w:type="paragraph">
    <w:name w:val="Body Text"/>
    <w:basedOn w:val="Normal"/>
    <w:link w:val="BodyTextChar"/>
    <w:qFormat/>
    <w:pPr>
      <w:widowControl/>
      <w:spacing w:after="80" w:before="0" w:line="276" w:lineRule="auto"/>
      <w:ind w:firstLine="302"/>
      <w:jc w:val="both"/>
    </w:pPr>
    <w:rPr>
      <w:rFonts w:ascii="Cambria" w:cs="Cambria" w:eastAsia="Cambria" w:hAnsi="Cambria"/>
      <w:color w:val="111111"/>
      <w:sz w:val="21"/>
    </w:rPr>
  </w:style>
  <w:style w:customStyle="1" w:styleId="FirstParagraph" w:type="paragraph">
    <w:name w:val="First Paragraph"/>
    <w:basedOn w:val="BodyText"/>
    <w:next w:val="BodyText"/>
    <w:qFormat/>
    <w:pPr>
      <w:widowControl/>
      <w:spacing w:after="80" w:before="0" w:line="276" w:lineRule="auto"/>
      <w:ind w:firstLine="0"/>
      <w:jc w:val="both"/>
    </w:pPr>
    <w:rPr>
      <w:rFonts w:ascii="Cambria" w:cs="Cambria" w:eastAsia="Cambria" w:hAnsi="Cambria"/>
      <w:color w:val="111111"/>
      <w:sz w:val="21"/>
    </w:rPr>
  </w:style>
  <w:style w:customStyle="1" w:styleId="Compact" w:type="paragraph">
    <w:name w:val="Compact"/>
    <w:basedOn w:val="BodyText"/>
    <w:qFormat/>
    <w:pPr>
      <w:widowControl/>
      <w:spacing w:after="40" w:before="0" w:line="264" w:lineRule="auto"/>
      <w:jc w:val="left"/>
    </w:pPr>
    <w:rPr>
      <w:rFonts w:ascii="Cambria" w:cs="Cambria" w:eastAsia="Cambria" w:hAnsi="Cambria"/>
      <w:color w:val="111111"/>
      <w:sz w:val="20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keepNext/>
      <w:widowControl/>
      <w:spacing w:after="120" w:before="0" w:line="264" w:lineRule="auto"/>
      <w:contextualSpacing/>
      <w:jc w:val="center"/>
    </w:pPr>
    <w:rPr>
      <w:rFonts w:ascii="Cambria" w:cs="Cambria" w:eastAsia="Cambria" w:hAnsi="Cambria"/>
      <w:b/>
      <w:color w:val="111111"/>
      <w:sz w:val="3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Cambria" w:cs="Cambria" w:eastAsia="Cambria" w:hAnsi="Cambria"/>
      <w:color w:val="111111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widowControl/>
      <w:numPr>
        <w:ilvl w:val="1"/>
      </w:numPr>
      <w:spacing w:after="160" w:before="0" w:line="264" w:lineRule="auto"/>
      <w:jc w:val="center"/>
    </w:pPr>
    <w:rPr>
      <w:rFonts w:ascii="Cambria" w:cs="Cambria" w:eastAsia="Cambria" w:hAnsi="Cambria"/>
      <w:b w:val="0"/>
      <w:i/>
      <w:color w:val="111111"/>
      <w:sz w:val="23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Cambria" w:cs="Cambria" w:eastAsia="Cambria" w:hAnsi="Cambria"/>
      <w:color w:val="111111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  <w:widowControl/>
      <w:spacing w:after="0" w:before="0" w:line="264" w:lineRule="auto"/>
      <w:jc w:val="center"/>
    </w:pPr>
    <w:rPr>
      <w:rFonts w:ascii="Cambria" w:cs="Cambria" w:eastAsia="Cambria" w:hAnsi="Cambria"/>
      <w:b/>
      <w:color w:val="111111"/>
      <w:sz w:val="22"/>
      <w:szCs w:val="24"/>
    </w:rPr>
  </w:style>
  <w:style w:styleId="Date" w:type="paragraph">
    <w:name w:val="Date"/>
    <w:basedOn w:val="Title"/>
    <w:next w:val="BodyText"/>
    <w:qFormat/>
    <w:pPr>
      <w:keepNext/>
      <w:keepLines/>
      <w:widowControl/>
      <w:spacing w:after="240" w:before="40" w:line="264" w:lineRule="auto"/>
      <w:jc w:val="center"/>
    </w:pPr>
    <w:rPr>
      <w:rFonts w:ascii="Cambria" w:cs="Cambria" w:eastAsia="Cambria" w:hAnsi="Cambria"/>
      <w:i/>
      <w:color w:val="444444"/>
      <w:sz w:val="18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widowControl/>
      <w:spacing w:after="40" w:before="120" w:line="269" w:lineRule="auto"/>
      <w:ind w:left="432"/>
      <w:jc w:val="left"/>
    </w:pPr>
    <w:rPr>
      <w:rFonts w:ascii="Cambria" w:cs="Cambria" w:eastAsia="Cambria" w:hAnsi="Cambria"/>
      <w:b/>
      <w:color w:val="111111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widowControl/>
      <w:spacing w:after="160" w:before="0" w:line="269" w:lineRule="auto"/>
      <w:ind w:firstLine="0" w:left="432" w:right="432"/>
      <w:jc w:val="both"/>
    </w:pPr>
    <w:rPr>
      <w:rFonts w:ascii="Cambria" w:cs="Cambria" w:eastAsia="Cambria" w:hAnsi="Cambria"/>
      <w:color w:val="111111"/>
      <w:sz w:val="20"/>
      <w:szCs w:val="20"/>
    </w:rPr>
  </w:style>
  <w:style w:styleId="Bibliography" w:type="paragraph">
    <w:name w:val="Bibliography"/>
    <w:basedOn w:val="Normal"/>
    <w:next w:val="Bibliography"/>
    <w:qFormat/>
    <w:pPr>
      <w:widowControl/>
      <w:spacing w:after="60" w:before="0" w:line="264" w:lineRule="auto"/>
      <w:ind w:hanging="432" w:left="432"/>
      <w:jc w:val="left"/>
    </w:pPr>
    <w:rPr>
      <w:rFonts w:ascii="Cambria" w:cs="Cambria" w:eastAsia="Cambria" w:hAnsi="Cambria"/>
      <w:color w:val="111111"/>
      <w:sz w:val="18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widowControl/>
      <w:spacing w:after="80" w:before="280" w:line="264" w:lineRule="auto"/>
      <w:jc w:val="left"/>
      <w:outlineLvl w:val="0"/>
    </w:pPr>
    <w:rPr>
      <w:rFonts w:ascii="Cambria" w:cs="Cambria" w:eastAsia="Cambria" w:hAnsi="Cambria"/>
      <w:b/>
      <w:i w:val="0"/>
      <w:color w:val="111111"/>
      <w:sz w:val="22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widowControl/>
      <w:spacing w:after="60" w:before="200" w:line="264" w:lineRule="auto"/>
      <w:jc w:val="left"/>
      <w:outlineLvl w:val="1"/>
    </w:pPr>
    <w:rPr>
      <w:rFonts w:ascii="Cambria" w:cs="Cambria" w:eastAsia="Cambria" w:hAnsi="Cambria"/>
      <w:b/>
      <w:i/>
      <w:color w:val="111111"/>
      <w:sz w:val="21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widowControl/>
      <w:spacing w:after="40" w:before="160" w:line="264" w:lineRule="auto"/>
      <w:jc w:val="left"/>
      <w:outlineLvl w:val="2"/>
    </w:pPr>
    <w:rPr>
      <w:rFonts w:ascii="Cambria" w:cs="Cambria" w:eastAsia="Cambria" w:hAnsi="Cambria"/>
      <w:b w:val="0"/>
      <w:i/>
      <w:color w:val="111111"/>
      <w:sz w:val="21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widowControl/>
      <w:spacing w:after="40" w:before="120" w:line="264" w:lineRule="auto"/>
      <w:jc w:val="left"/>
      <w:outlineLvl w:val="3"/>
    </w:pPr>
    <w:rPr>
      <w:rFonts w:ascii="Cambria" w:cs="Cambria" w:eastAsia="Cambria" w:hAnsi="Cambria"/>
      <w:b w:val="0"/>
      <w:i/>
      <w:iCs/>
      <w:color w:val="111111"/>
      <w:sz w:val="2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widowControl/>
      <w:spacing w:after="40" w:before="120" w:line="264" w:lineRule="auto"/>
      <w:jc w:val="left"/>
      <w:outlineLvl w:val="4"/>
    </w:pPr>
    <w:rPr>
      <w:rFonts w:ascii="Cambria" w:cs="Cambria" w:eastAsia="Cambria" w:hAnsi="Cambria"/>
      <w:b w:val="0"/>
      <w:i/>
      <w:color w:val="111111"/>
      <w:sz w:val="2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widowControl/>
      <w:spacing w:after="40" w:before="120" w:line="264" w:lineRule="auto"/>
      <w:jc w:val="left"/>
      <w:outlineLvl w:val="5"/>
    </w:pPr>
    <w:rPr>
      <w:rFonts w:ascii="Cambria" w:cs="Cambria" w:eastAsia="Cambria" w:hAnsi="Cambria"/>
      <w:b w:val="0"/>
      <w:i/>
      <w:iCs/>
      <w:color w:val="111111"/>
      <w:sz w:val="21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widowControl/>
      <w:spacing w:after="40" w:before="120" w:line="264" w:lineRule="auto"/>
      <w:jc w:val="left"/>
      <w:outlineLvl w:val="6"/>
    </w:pPr>
    <w:rPr>
      <w:rFonts w:ascii="Cambria" w:cs="Cambria" w:eastAsia="Cambria" w:hAnsi="Cambria"/>
      <w:b w:val="0"/>
      <w:i/>
      <w:color w:val="111111"/>
      <w:sz w:val="21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widowControl/>
      <w:spacing w:after="40" w:before="120" w:line="264" w:lineRule="auto"/>
      <w:jc w:val="left"/>
      <w:outlineLvl w:val="7"/>
    </w:pPr>
    <w:rPr>
      <w:rFonts w:ascii="Cambria" w:cs="Cambria" w:eastAsia="Cambria" w:hAnsi="Cambria"/>
      <w:b w:val="0"/>
      <w:i/>
      <w:iCs/>
      <w:color w:val="111111"/>
      <w:sz w:val="21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widowControl/>
      <w:spacing w:after="40" w:before="120" w:line="264" w:lineRule="auto"/>
      <w:jc w:val="left"/>
      <w:outlineLvl w:val="8"/>
    </w:pPr>
    <w:rPr>
      <w:rFonts w:ascii="Cambria" w:cs="Cambria" w:eastAsia="Cambria" w:hAnsi="Cambria"/>
      <w:b w:val="0"/>
      <w:i/>
      <w:color w:val="111111"/>
      <w:sz w:val="21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widowControl/>
      <w:spacing w:after="80" w:before="40" w:line="269" w:lineRule="auto"/>
      <w:ind w:firstLine="0" w:left="432" w:right="432"/>
      <w:jc w:val="both"/>
    </w:pPr>
    <w:rPr>
      <w:rFonts w:ascii="Cambria" w:cs="Cambria" w:eastAsia="Cambria" w:hAnsi="Cambria"/>
      <w:color w:val="111111"/>
      <w:sz w:val="20"/>
    </w:rPr>
  </w:style>
  <w:style w:styleId="FootnoteText" w:type="paragraph">
    <w:name w:val="Footnote Text"/>
    <w:basedOn w:val="Normal"/>
    <w:next w:val="FootnoteText"/>
    <w:uiPriority w:val="9"/>
    <w:unhideWhenUsed/>
    <w:qFormat/>
    <w:pPr>
      <w:widowControl/>
      <w:spacing w:after="40" w:before="0" w:line="252" w:lineRule="auto"/>
      <w:jc w:val="left"/>
    </w:pPr>
    <w:rPr>
      <w:rFonts w:ascii="Cambria" w:cs="Cambria" w:eastAsia="Cambria" w:hAnsi="Cambria"/>
      <w:color w:val="111111"/>
      <w:sz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222222" w:space="0" w:sz="8" w:val="single"/>
        <w:left w:space="0" w:val="nil"/>
        <w:bottom w:color="222222" w:space="0" w:sz="8" w:val="single"/>
        <w:right w:space="0" w:val="nil"/>
        <w:insideH w:space="0" w:val="nil"/>
        <w:insideV w:space="0" w:val="nil"/>
      </w:tblBorders>
      <w:tblCellMar>
        <w:top w:type="dxa" w:w="40"/>
        <w:left w:type="dxa" w:w="100"/>
        <w:bottom w:type="dxa" w:w="40"/>
        <w:right w:type="dxa" w:w="100"/>
      </w:tblCellMar>
    </w:tblPr>
    <w:pPr/>
    <w:rPr>
      <w:rFonts w:ascii="Cambria" w:cs="Cambria" w:hAnsi="Cambria"/>
      <w:sz w:val="19"/>
    </w:rPr>
    <w:tblStylePr w:type="firstRow">
      <w:rPr>
        <w:b/>
      </w:rPr>
      <w:tcPr>
        <w:tcBorders>
          <w:bottom w:color="222222" w:space="0" w:sz="4"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widowControl/>
      <w:spacing w:after="40" w:before="0" w:line="264" w:lineRule="auto"/>
      <w:jc w:val="left"/>
    </w:pPr>
    <w:rPr>
      <w:rFonts w:ascii="Cambria" w:cs="Cambria" w:eastAsia="Cambria" w:hAnsi="Cambria"/>
      <w:b/>
      <w:color w:val="111111"/>
      <w:sz w:val="21"/>
    </w:rPr>
  </w:style>
  <w:style w:customStyle="1" w:styleId="Definition" w:type="paragraph">
    <w:name w:val="Definition"/>
    <w:basedOn w:val="Normal"/>
    <w:pPr>
      <w:widowControl/>
      <w:spacing w:after="40" w:before="0" w:line="264" w:lineRule="auto"/>
      <w:jc w:val="left"/>
    </w:pPr>
    <w:rPr>
      <w:rFonts w:ascii="Cambria" w:cs="Cambria" w:eastAsia="Cambria" w:hAnsi="Cambria"/>
      <w:b w:val="0"/>
      <w:color w:val="111111"/>
      <w:sz w:val="21"/>
    </w:rPr>
  </w:style>
  <w:style w:styleId="Caption" w:type="paragraph">
    <w:name w:val="Caption"/>
    <w:basedOn w:val="Normal"/>
    <w:link w:val="BodyTextChar"/>
    <w:pPr>
      <w:widowControl/>
      <w:spacing w:after="120" w:before="60" w:line="264" w:lineRule="auto"/>
      <w:jc w:val="left"/>
    </w:pPr>
    <w:rPr>
      <w:rFonts w:ascii="Cambria" w:cs="Cambria" w:eastAsia="Cambria" w:hAnsi="Cambria"/>
      <w:b w:val="0"/>
      <w:i w:val="0"/>
      <w:color w:val="111111"/>
      <w:sz w:val="18"/>
    </w:rPr>
  </w:style>
  <w:style w:customStyle="1" w:styleId="TableCaption" w:type="paragraph">
    <w:name w:val="Table Caption"/>
    <w:basedOn w:val="Caption"/>
    <w:pPr>
      <w:keepNext/>
      <w:keepLines/>
      <w:widowControl/>
      <w:spacing w:after="60" w:before="160" w:line="264" w:lineRule="auto"/>
      <w:jc w:val="left"/>
    </w:pPr>
    <w:rPr>
      <w:rFonts w:ascii="Cambria" w:cs="Cambria" w:eastAsia="Cambria" w:hAnsi="Cambria"/>
      <w:b w:val="0"/>
      <w:i w:val="0"/>
      <w:color w:val="111111"/>
      <w:sz w:val="18"/>
    </w:rPr>
  </w:style>
  <w:style w:customStyle="1" w:styleId="ImageCaption" w:type="paragraph">
    <w:name w:val="Image Caption"/>
    <w:basedOn w:val="Caption"/>
    <w:pPr>
      <w:keepLines/>
      <w:widowControl/>
      <w:spacing w:after="200" w:before="60" w:line="264" w:lineRule="auto"/>
      <w:jc w:val="left"/>
    </w:pPr>
    <w:rPr>
      <w:rFonts w:ascii="Cambria" w:cs="Cambria" w:eastAsia="Cambria" w:hAnsi="Cambria"/>
      <w:b w:val="0"/>
      <w:i w:val="0"/>
      <w:color w:val="111111"/>
      <w:sz w:val="18"/>
    </w:rPr>
  </w:style>
  <w:style w:customStyle="1" w:styleId="Figure" w:type="paragraph">
    <w:name w:val="Figure"/>
    <w:basedOn w:val="Normal"/>
    <w:pPr>
      <w:keepNext/>
      <w:widowControl/>
      <w:spacing w:after="0" w:before="120" w:line="240" w:lineRule="auto"/>
      <w:jc w:val="center"/>
    </w:pPr>
    <w:rPr>
      <w:rFonts w:ascii="Cambria" w:cs="Cambria" w:eastAsia="Cambria" w:hAnsi="Cambria"/>
      <w:color w:val="111111"/>
      <w:sz w:val="21"/>
    </w:rPr>
  </w:style>
  <w:style w:customStyle="1" w:styleId="CaptionedFigure" w:type="paragraph">
    <w:name w:val="Captioned Figure"/>
    <w:basedOn w:val="Figure"/>
    <w:pPr>
      <w:keepNext/>
      <w:widowControl/>
      <w:spacing w:after="0" w:before="120" w:line="240" w:lineRule="auto"/>
      <w:jc w:val="center"/>
    </w:pPr>
    <w:rPr>
      <w:rFonts w:ascii="Cambria" w:cs="Cambria" w:eastAsia="Cambria" w:hAnsi="Cambria"/>
      <w:color w:val="111111"/>
      <w:sz w:val="21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111111"/>
    </w:rPr>
  </w:style>
  <w:style w:customStyle="1" w:styleId="VerbatimChar" w:type="character">
    <w:name w:val="Verbatim Char"/>
    <w:basedOn w:val="BodyTextChar"/>
    <w:rPr>
      <w:rFonts w:ascii="Consolas" w:hAnsi="Consolas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1F4E79"/>
      <w:u w:val="none"/>
    </w:rPr>
  </w:style>
  <w:style w:styleId="TOCHeading" w:type="paragraph">
    <w:name w:val="TOC Heading"/>
    <w:basedOn w:val="Heading1"/>
    <w:next w:val="BodyText"/>
    <w:uiPriority w:val="39"/>
    <w:unhideWhenUsed/>
    <w:qFormat/>
    <w:pPr>
      <w:keepNext/>
      <w:widowControl/>
      <w:spacing w:after="80" w:before="240" w:line="264" w:lineRule="auto"/>
      <w:jc w:val="left"/>
      <w:outlineLvl w:val="9"/>
    </w:pPr>
    <w:rPr>
      <w:rFonts w:ascii="Cambria" w:cs="Cambria" w:eastAsia="Cambria" w:hAnsi="Cambria"/>
      <w:b/>
      <w:bCs w:val="0"/>
      <w:color w:val="111111"/>
      <w:sz w:val="22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30" Type="http://schemas.openxmlformats.org/officeDocument/2006/relationships/image" Target="media/rId30.png"/><Relationship Id="rId40" Type="http://schemas.openxmlformats.org/officeDocument/2006/relationships/image" Target="media/rId40.png"/><Relationship Id="rId34" Type="http://schemas.openxmlformats.org/officeDocument/2006/relationships/image" Target="media/rId34.png"/><Relationship Id="rId26" Type="http://schemas.openxmlformats.org/officeDocument/2006/relationships/image" Target="media/rId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LinksUpToDate>false</LinksUpToDate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NB-532-3-B Narrow Bandpass Filter Datasheet, Rev B</dc:title>
  <dc:subject>Datasheet for the NB-532-3-B narrow bandpass filter, 532 nm, 3.0 nm FWHM, 25.0 mm mounted: specifications with test conditions, typical curves, outline, ordering key and test policy. Rev B.</dc:subject>
  <dc:creator>Jezdan Gomez</dc:creator>
  <cp:keywords>narrow bandpass filter, 532 nm, datasheet, interference filter, angle of incidence, optical density</cp:keywords>
  <cp:lastModifiedBy>Jezdan Gomez</cp:lastModifiedBy>
  <dcterms:created xsi:type="dcterms:W3CDTF">2026-10-24T14:59:53Z</dcterms:created>
  <dcterms:modified xsi:type="dcterms:W3CDTF">2026-10-24T14:59:55Z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/>
  </property>
  <property fmtid="{D5CDD505-2E9C-101B-9397-08002B2CF9AE}" pid="3" name="subtitle">
    <vt:lpwstr/>
  </property>
  <property fmtid="{D5CDD505-2E9C-101B-9397-08002B2CF9AE}" pid="4" name="viewport">
    <vt:lpwstr>width=device-width, initial-scale=1</vt:lpwstr>
  </property>
</Properties>
</file>